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9C33" w14:textId="77777777" w:rsidR="00304DFC" w:rsidRDefault="00BA7F2A" w:rsidP="00EE2B5C">
      <w:pPr>
        <w:spacing w:after="0"/>
        <w:jc w:val="center"/>
        <w:rPr>
          <w:b/>
          <w:sz w:val="28"/>
          <w:szCs w:val="28"/>
        </w:rPr>
      </w:pPr>
      <w:r>
        <w:rPr>
          <w:b/>
          <w:sz w:val="28"/>
          <w:szCs w:val="28"/>
        </w:rPr>
        <w:t>Brock Univers</w:t>
      </w:r>
      <w:r w:rsidR="00304DFC">
        <w:rPr>
          <w:b/>
          <w:sz w:val="28"/>
          <w:szCs w:val="28"/>
        </w:rPr>
        <w:t>ity</w:t>
      </w:r>
    </w:p>
    <w:p w14:paraId="4EAFAF01" w14:textId="559E81DD" w:rsidR="00EE2B5C" w:rsidRDefault="00304DFC" w:rsidP="00EE2B5C">
      <w:pPr>
        <w:spacing w:after="0"/>
        <w:jc w:val="center"/>
        <w:rPr>
          <w:b/>
          <w:sz w:val="28"/>
          <w:szCs w:val="28"/>
        </w:rPr>
      </w:pPr>
      <w:r>
        <w:rPr>
          <w:b/>
          <w:sz w:val="28"/>
          <w:szCs w:val="28"/>
        </w:rPr>
        <w:t xml:space="preserve">Animal-Based Science </w:t>
      </w:r>
      <w:r w:rsidR="00EE2B5C" w:rsidRPr="00A01349">
        <w:rPr>
          <w:b/>
          <w:sz w:val="28"/>
          <w:szCs w:val="28"/>
        </w:rPr>
        <w:t>Statistics</w:t>
      </w:r>
    </w:p>
    <w:p w14:paraId="44D9A5EF" w14:textId="77777777" w:rsidR="00EE2B5C" w:rsidRDefault="00EE2B5C" w:rsidP="00EE2B5C">
      <w:pPr>
        <w:spacing w:after="0"/>
        <w:jc w:val="center"/>
        <w:rPr>
          <w:b/>
          <w:sz w:val="28"/>
          <w:szCs w:val="28"/>
        </w:rPr>
      </w:pPr>
    </w:p>
    <w:p w14:paraId="6CBFA33B" w14:textId="605AF84E" w:rsidR="00EE2B5C" w:rsidRPr="00A01349" w:rsidRDefault="00EE2B5C" w:rsidP="00BA7F2A">
      <w:pPr>
        <w:spacing w:after="0"/>
        <w:rPr>
          <w:b/>
          <w:sz w:val="28"/>
          <w:szCs w:val="28"/>
        </w:rPr>
      </w:pPr>
      <w:r w:rsidRPr="00A01349">
        <w:rPr>
          <w:b/>
          <w:sz w:val="24"/>
          <w:szCs w:val="24"/>
        </w:rPr>
        <w:t>20</w:t>
      </w:r>
      <w:r>
        <w:rPr>
          <w:b/>
          <w:sz w:val="24"/>
          <w:szCs w:val="24"/>
        </w:rPr>
        <w:t>2</w:t>
      </w:r>
      <w:r w:rsidR="00211BE5">
        <w:rPr>
          <w:b/>
          <w:sz w:val="24"/>
          <w:szCs w:val="24"/>
        </w:rPr>
        <w:t>1</w:t>
      </w:r>
      <w:r w:rsidRPr="00A01349">
        <w:rPr>
          <w:b/>
          <w:sz w:val="24"/>
          <w:szCs w:val="24"/>
        </w:rPr>
        <w:t xml:space="preserve"> </w:t>
      </w:r>
      <w:r>
        <w:rPr>
          <w:b/>
          <w:sz w:val="24"/>
          <w:szCs w:val="24"/>
        </w:rPr>
        <w:t>Review</w:t>
      </w:r>
      <w:r w:rsidRPr="00960152">
        <w:rPr>
          <w:b/>
          <w:sz w:val="28"/>
          <w:szCs w:val="28"/>
        </w:rPr>
        <w:t xml:space="preserve"> </w:t>
      </w:r>
    </w:p>
    <w:p w14:paraId="0EE5ED5F" w14:textId="6AF87E0B" w:rsidR="00EE2B5C" w:rsidRDefault="00EE2B5C" w:rsidP="00EE2B5C">
      <w:pPr>
        <w:spacing w:after="0"/>
        <w:rPr>
          <w:b/>
          <w:sz w:val="24"/>
          <w:szCs w:val="24"/>
        </w:rPr>
      </w:pPr>
    </w:p>
    <w:p w14:paraId="25D00E62" w14:textId="6E306679" w:rsidR="00EE2B5C" w:rsidRPr="00AE5354" w:rsidRDefault="005346F4" w:rsidP="00EE2B5C">
      <w:pPr>
        <w:spacing w:after="0" w:line="240" w:lineRule="auto"/>
        <w:rPr>
          <w:sz w:val="24"/>
          <w:szCs w:val="24"/>
        </w:rPr>
      </w:pPr>
      <w:r>
        <w:rPr>
          <w:sz w:val="24"/>
          <w:szCs w:val="24"/>
        </w:rPr>
        <w:t>In June</w:t>
      </w:r>
      <w:r w:rsidR="00FB4BEF">
        <w:rPr>
          <w:sz w:val="24"/>
          <w:szCs w:val="24"/>
        </w:rPr>
        <w:t xml:space="preserve"> </w:t>
      </w:r>
      <w:r w:rsidR="00E53F51">
        <w:rPr>
          <w:sz w:val="24"/>
          <w:szCs w:val="24"/>
        </w:rPr>
        <w:t>2021</w:t>
      </w:r>
      <w:r w:rsidR="001908AD">
        <w:rPr>
          <w:sz w:val="24"/>
          <w:szCs w:val="24"/>
        </w:rPr>
        <w:t xml:space="preserve"> </w:t>
      </w:r>
      <w:r w:rsidR="00EE2B5C" w:rsidRPr="00AE5354">
        <w:rPr>
          <w:sz w:val="24"/>
          <w:szCs w:val="24"/>
        </w:rPr>
        <w:t xml:space="preserve">Brock University </w:t>
      </w:r>
      <w:r w:rsidR="001908AD">
        <w:rPr>
          <w:sz w:val="24"/>
          <w:szCs w:val="24"/>
        </w:rPr>
        <w:t xml:space="preserve">returned to </w:t>
      </w:r>
      <w:r w:rsidR="001368FD">
        <w:rPr>
          <w:sz w:val="24"/>
          <w:szCs w:val="24"/>
        </w:rPr>
        <w:t xml:space="preserve">a </w:t>
      </w:r>
      <w:r w:rsidR="00477C3F">
        <w:rPr>
          <w:sz w:val="24"/>
          <w:szCs w:val="24"/>
        </w:rPr>
        <w:t>gradual reopening</w:t>
      </w:r>
      <w:r w:rsidR="009B583B">
        <w:rPr>
          <w:sz w:val="24"/>
          <w:szCs w:val="24"/>
        </w:rPr>
        <w:t xml:space="preserve"> </w:t>
      </w:r>
      <w:r w:rsidR="009841CF">
        <w:rPr>
          <w:sz w:val="24"/>
          <w:szCs w:val="24"/>
        </w:rPr>
        <w:t>follow</w:t>
      </w:r>
      <w:r w:rsidR="005B6684">
        <w:rPr>
          <w:sz w:val="24"/>
          <w:szCs w:val="24"/>
        </w:rPr>
        <w:t>ing</w:t>
      </w:r>
      <w:r w:rsidR="009841CF">
        <w:rPr>
          <w:sz w:val="24"/>
          <w:szCs w:val="24"/>
        </w:rPr>
        <w:t xml:space="preserve"> public health guidelines</w:t>
      </w:r>
      <w:r w:rsidR="007B41FD">
        <w:rPr>
          <w:sz w:val="24"/>
          <w:szCs w:val="24"/>
        </w:rPr>
        <w:t xml:space="preserve"> and th</w:t>
      </w:r>
      <w:r w:rsidR="00AD1CB9">
        <w:rPr>
          <w:sz w:val="24"/>
          <w:szCs w:val="24"/>
        </w:rPr>
        <w:t>e Brock</w:t>
      </w:r>
      <w:r w:rsidR="007B41FD">
        <w:rPr>
          <w:sz w:val="24"/>
          <w:szCs w:val="24"/>
        </w:rPr>
        <w:t xml:space="preserve"> </w:t>
      </w:r>
      <w:r w:rsidR="00814B70">
        <w:rPr>
          <w:sz w:val="24"/>
          <w:szCs w:val="24"/>
        </w:rPr>
        <w:t xml:space="preserve">five stage </w:t>
      </w:r>
      <w:r w:rsidR="009B6A5E">
        <w:rPr>
          <w:sz w:val="24"/>
          <w:szCs w:val="24"/>
        </w:rPr>
        <w:t>recovery plan</w:t>
      </w:r>
      <w:r w:rsidR="00E53F51">
        <w:rPr>
          <w:sz w:val="24"/>
          <w:szCs w:val="24"/>
        </w:rPr>
        <w:t>. T</w:t>
      </w:r>
      <w:r w:rsidR="00762A9B">
        <w:rPr>
          <w:sz w:val="24"/>
          <w:szCs w:val="24"/>
        </w:rPr>
        <w:t xml:space="preserve">his </w:t>
      </w:r>
      <w:r w:rsidR="006A410B">
        <w:rPr>
          <w:sz w:val="24"/>
          <w:szCs w:val="24"/>
        </w:rPr>
        <w:t>resulted in a return to short term research projects</w:t>
      </w:r>
      <w:r w:rsidR="00762A9B">
        <w:rPr>
          <w:sz w:val="24"/>
          <w:szCs w:val="24"/>
        </w:rPr>
        <w:t xml:space="preserve"> 12 weeks or less.</w:t>
      </w:r>
    </w:p>
    <w:p w14:paraId="4C409F24" w14:textId="2446ADE5" w:rsidR="00EE2B5C" w:rsidRPr="004F27C9" w:rsidRDefault="000C44E5" w:rsidP="00762A9B">
      <w:pPr>
        <w:spacing w:after="0" w:line="240" w:lineRule="auto"/>
        <w:rPr>
          <w:sz w:val="24"/>
          <w:szCs w:val="24"/>
        </w:rPr>
      </w:pPr>
      <w:r>
        <w:rPr>
          <w:sz w:val="24"/>
          <w:szCs w:val="24"/>
        </w:rPr>
        <w:t>Following this announ</w:t>
      </w:r>
      <w:r w:rsidR="007142DC">
        <w:rPr>
          <w:sz w:val="24"/>
          <w:szCs w:val="24"/>
        </w:rPr>
        <w:t xml:space="preserve">cement </w:t>
      </w:r>
      <w:r w:rsidR="00EE2B5C" w:rsidRPr="00AE5354">
        <w:rPr>
          <w:sz w:val="24"/>
          <w:szCs w:val="24"/>
        </w:rPr>
        <w:t xml:space="preserve">Animal Care Services </w:t>
      </w:r>
      <w:r w:rsidR="00F203DA">
        <w:rPr>
          <w:sz w:val="24"/>
          <w:szCs w:val="24"/>
        </w:rPr>
        <w:t xml:space="preserve">returned to </w:t>
      </w:r>
      <w:r w:rsidR="003F4C08">
        <w:rPr>
          <w:sz w:val="24"/>
          <w:szCs w:val="24"/>
        </w:rPr>
        <w:t>a regular work schedule and assisted in the ramp up of research projects</w:t>
      </w:r>
      <w:r w:rsidR="004F27C9">
        <w:rPr>
          <w:sz w:val="24"/>
          <w:szCs w:val="24"/>
        </w:rPr>
        <w:t xml:space="preserve"> under the guidance of the </w:t>
      </w:r>
      <w:r w:rsidR="00EE2B5C" w:rsidRPr="00AE5354">
        <w:rPr>
          <w:sz w:val="24"/>
          <w:szCs w:val="24"/>
        </w:rPr>
        <w:t>Brock Animal Care Committee</w:t>
      </w:r>
      <w:r w:rsidR="004F27C9">
        <w:rPr>
          <w:sz w:val="24"/>
          <w:szCs w:val="24"/>
        </w:rPr>
        <w:t xml:space="preserve"> and </w:t>
      </w:r>
      <w:r w:rsidR="00190679">
        <w:rPr>
          <w:sz w:val="24"/>
          <w:szCs w:val="24"/>
        </w:rPr>
        <w:t>veterinarians.</w:t>
      </w:r>
    </w:p>
    <w:p w14:paraId="662602D0" w14:textId="77777777" w:rsidR="00EE2B5C" w:rsidRDefault="00EE2B5C" w:rsidP="00EE2B5C">
      <w:pPr>
        <w:spacing w:after="0"/>
        <w:rPr>
          <w:sz w:val="24"/>
          <w:szCs w:val="24"/>
        </w:rPr>
      </w:pPr>
    </w:p>
    <w:p w14:paraId="5B46E47D" w14:textId="53606F95" w:rsidR="00EE2B5C" w:rsidRDefault="00EE2B5C" w:rsidP="00EE2B5C">
      <w:pPr>
        <w:spacing w:after="0"/>
        <w:rPr>
          <w:sz w:val="24"/>
          <w:szCs w:val="24"/>
        </w:rPr>
      </w:pPr>
      <w:r>
        <w:rPr>
          <w:sz w:val="24"/>
          <w:szCs w:val="24"/>
        </w:rPr>
        <w:t xml:space="preserve">A total of </w:t>
      </w:r>
      <w:r w:rsidR="009042B3">
        <w:rPr>
          <w:sz w:val="24"/>
          <w:szCs w:val="24"/>
        </w:rPr>
        <w:t>2</w:t>
      </w:r>
      <w:r w:rsidR="00B10702">
        <w:rPr>
          <w:sz w:val="24"/>
          <w:szCs w:val="24"/>
        </w:rPr>
        <w:t>479</w:t>
      </w:r>
      <w:r>
        <w:rPr>
          <w:sz w:val="24"/>
          <w:szCs w:val="24"/>
        </w:rPr>
        <w:t xml:space="preserve"> animals were utilized in </w:t>
      </w:r>
      <w:r w:rsidR="000003C5">
        <w:rPr>
          <w:sz w:val="24"/>
          <w:szCs w:val="24"/>
        </w:rPr>
        <w:t>5</w:t>
      </w:r>
      <w:r w:rsidR="003C5DDA">
        <w:rPr>
          <w:sz w:val="24"/>
          <w:szCs w:val="24"/>
        </w:rPr>
        <w:t>8</w:t>
      </w:r>
      <w:r>
        <w:rPr>
          <w:sz w:val="24"/>
          <w:szCs w:val="24"/>
        </w:rPr>
        <w:t xml:space="preserve"> active research and teaching protocols. All protocols have been reviewed and approved by the Brock University Animal Care Committee (ACC). </w:t>
      </w:r>
    </w:p>
    <w:p w14:paraId="49B88413" w14:textId="58DA9BBB" w:rsidR="00EE2B5C" w:rsidRDefault="00EE2B5C" w:rsidP="00EE2B5C">
      <w:pPr>
        <w:spacing w:after="0"/>
        <w:rPr>
          <w:sz w:val="24"/>
          <w:szCs w:val="24"/>
        </w:rPr>
      </w:pPr>
      <w:r>
        <w:rPr>
          <w:sz w:val="24"/>
          <w:szCs w:val="24"/>
        </w:rPr>
        <w:t>The ACC is mandated to safeguard the welfare of animals involved in research and teaching and</w:t>
      </w:r>
      <w:r w:rsidRPr="003257AA">
        <w:t xml:space="preserve"> </w:t>
      </w:r>
      <w:r w:rsidRPr="003257AA">
        <w:rPr>
          <w:sz w:val="24"/>
          <w:szCs w:val="24"/>
        </w:rPr>
        <w:t>reports to the Vice-President, Research</w:t>
      </w:r>
      <w:r>
        <w:rPr>
          <w:sz w:val="24"/>
          <w:szCs w:val="24"/>
        </w:rPr>
        <w:t xml:space="preserve">. The committee is also responsible for ensuring that all animal researchers follow the mandatory guidelines set forth by the Canadian Council on Animal Care (CCAC), a </w:t>
      </w:r>
      <w:r w:rsidRPr="00B8212E">
        <w:rPr>
          <w:sz w:val="24"/>
          <w:szCs w:val="24"/>
        </w:rPr>
        <w:t>national body responsible for setting, maintaining and overseeing the implementation of high standards for animal ethics and care in science throughout Canada</w:t>
      </w:r>
      <w:r>
        <w:rPr>
          <w:sz w:val="24"/>
          <w:szCs w:val="24"/>
        </w:rPr>
        <w:t xml:space="preserve"> and adhere to regulations enforced by the Ontario Ministry of Agriculture and Rural Affairs (OMAFRA).</w:t>
      </w:r>
      <w:r w:rsidRPr="00B8212E">
        <w:t xml:space="preserve"> </w:t>
      </w:r>
      <w:r>
        <w:rPr>
          <w:sz w:val="24"/>
          <w:szCs w:val="24"/>
        </w:rPr>
        <w:t xml:space="preserve"> </w:t>
      </w:r>
    </w:p>
    <w:p w14:paraId="46AF9FA0" w14:textId="77777777" w:rsidR="00EE2B5C" w:rsidRDefault="00EE2B5C" w:rsidP="00EE2B5C">
      <w:pPr>
        <w:spacing w:after="0"/>
        <w:rPr>
          <w:sz w:val="24"/>
          <w:szCs w:val="24"/>
        </w:rPr>
      </w:pPr>
    </w:p>
    <w:p w14:paraId="5A8B84FB" w14:textId="60361A86" w:rsidR="00EE2B5C" w:rsidRPr="00595C57" w:rsidRDefault="00EE2B5C" w:rsidP="00EE2B5C">
      <w:pPr>
        <w:pStyle w:val="ListParagraph"/>
        <w:spacing w:after="0"/>
        <w:ind w:left="0"/>
        <w:rPr>
          <w:sz w:val="24"/>
          <w:szCs w:val="24"/>
          <w:lang w:val="en-US"/>
        </w:rPr>
      </w:pPr>
      <w:r w:rsidRPr="007A2ECE">
        <w:rPr>
          <w:rFonts w:cstheme="minorHAnsi"/>
          <w:color w:val="000000" w:themeColor="text1"/>
          <w:sz w:val="24"/>
          <w:szCs w:val="24"/>
          <w:shd w:val="clear" w:color="auto" w:fill="FFFFFF"/>
        </w:rPr>
        <w:t xml:space="preserve">The </w:t>
      </w:r>
      <w:r>
        <w:rPr>
          <w:rFonts w:cstheme="minorHAnsi"/>
          <w:color w:val="000000" w:themeColor="text1"/>
          <w:sz w:val="24"/>
          <w:szCs w:val="24"/>
          <w:shd w:val="clear" w:color="auto" w:fill="FFFFFF"/>
        </w:rPr>
        <w:t>ACC</w:t>
      </w:r>
      <w:r w:rsidRPr="007A2ECE">
        <w:rPr>
          <w:rFonts w:cstheme="minorHAnsi"/>
          <w:color w:val="000000" w:themeColor="text1"/>
          <w:sz w:val="24"/>
          <w:szCs w:val="24"/>
          <w:shd w:val="clear" w:color="auto" w:fill="FFFFFF"/>
        </w:rPr>
        <w:t xml:space="preserve"> is composed of </w:t>
      </w:r>
      <w:r>
        <w:rPr>
          <w:rFonts w:cstheme="minorHAnsi"/>
          <w:color w:val="000000" w:themeColor="text1"/>
          <w:sz w:val="24"/>
          <w:szCs w:val="24"/>
          <w:shd w:val="clear" w:color="auto" w:fill="FFFFFF"/>
        </w:rPr>
        <w:t xml:space="preserve">representative </w:t>
      </w:r>
      <w:r w:rsidRPr="007A2ECE">
        <w:rPr>
          <w:rFonts w:cstheme="minorHAnsi"/>
          <w:color w:val="000000" w:themeColor="text1"/>
          <w:sz w:val="24"/>
          <w:szCs w:val="24"/>
          <w:shd w:val="clear" w:color="auto" w:fill="FFFFFF"/>
        </w:rPr>
        <w:t>faculty</w:t>
      </w:r>
      <w:r>
        <w:rPr>
          <w:rFonts w:cstheme="minorHAnsi"/>
          <w:color w:val="000000" w:themeColor="text1"/>
          <w:sz w:val="24"/>
          <w:szCs w:val="24"/>
          <w:shd w:val="clear" w:color="auto" w:fill="FFFFFF"/>
        </w:rPr>
        <w:t xml:space="preserve"> members, health and safety personnel, </w:t>
      </w:r>
      <w:r w:rsidRPr="007A2ECE">
        <w:rPr>
          <w:rFonts w:cstheme="minorHAnsi"/>
          <w:color w:val="000000" w:themeColor="text1"/>
          <w:sz w:val="24"/>
          <w:szCs w:val="24"/>
          <w:shd w:val="clear" w:color="auto" w:fill="FFFFFF"/>
        </w:rPr>
        <w:t xml:space="preserve">community </w:t>
      </w:r>
      <w:r>
        <w:rPr>
          <w:rFonts w:cstheme="minorHAnsi"/>
          <w:color w:val="000000" w:themeColor="text1"/>
          <w:sz w:val="24"/>
          <w:szCs w:val="24"/>
          <w:shd w:val="clear" w:color="auto" w:fill="FFFFFF"/>
        </w:rPr>
        <w:t>representatives</w:t>
      </w:r>
      <w:r w:rsidRPr="007A2ECE">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 xml:space="preserve">animal care </w:t>
      </w:r>
      <w:r w:rsidRPr="007A2ECE">
        <w:rPr>
          <w:rFonts w:cstheme="minorHAnsi"/>
          <w:color w:val="000000" w:themeColor="text1"/>
          <w:sz w:val="24"/>
          <w:szCs w:val="24"/>
          <w:shd w:val="clear" w:color="auto" w:fill="FFFFFF"/>
        </w:rPr>
        <w:t xml:space="preserve">staff, </w:t>
      </w:r>
      <w:r>
        <w:rPr>
          <w:rFonts w:cstheme="minorHAnsi"/>
          <w:color w:val="000000" w:themeColor="text1"/>
          <w:sz w:val="24"/>
          <w:szCs w:val="24"/>
          <w:shd w:val="clear" w:color="auto" w:fill="FFFFFF"/>
        </w:rPr>
        <w:t xml:space="preserve">veterinarians, </w:t>
      </w:r>
      <w:r w:rsidRPr="007A2ECE">
        <w:rPr>
          <w:rFonts w:cstheme="minorHAnsi"/>
          <w:color w:val="000000" w:themeColor="text1"/>
          <w:sz w:val="24"/>
          <w:szCs w:val="24"/>
          <w:shd w:val="clear" w:color="auto" w:fill="FFFFFF"/>
        </w:rPr>
        <w:t xml:space="preserve">graduate and undergraduate students. </w:t>
      </w:r>
      <w:r>
        <w:rPr>
          <w:rFonts w:cstheme="minorHAnsi"/>
          <w:color w:val="000000" w:themeColor="text1"/>
          <w:sz w:val="24"/>
          <w:szCs w:val="24"/>
          <w:shd w:val="clear" w:color="auto" w:fill="FFFFFF"/>
        </w:rPr>
        <w:t>ACC members</w:t>
      </w:r>
      <w:r w:rsidRPr="007A2ECE">
        <w:rPr>
          <w:rFonts w:cstheme="minorHAnsi"/>
          <w:color w:val="000000" w:themeColor="text1"/>
          <w:sz w:val="24"/>
          <w:szCs w:val="24"/>
          <w:shd w:val="clear" w:color="auto" w:fill="FFFFFF"/>
        </w:rPr>
        <w:t xml:space="preserve"> are committed to ensuring that Brock’s animal researchers conform to </w:t>
      </w:r>
      <w:r>
        <w:rPr>
          <w:rFonts w:cstheme="minorHAnsi"/>
          <w:color w:val="000000" w:themeColor="text1"/>
          <w:sz w:val="24"/>
          <w:szCs w:val="24"/>
          <w:shd w:val="clear" w:color="auto" w:fill="FFFFFF"/>
        </w:rPr>
        <w:t xml:space="preserve">all pertinent regulatory </w:t>
      </w:r>
      <w:r w:rsidRPr="007A2ECE">
        <w:rPr>
          <w:rFonts w:cstheme="minorHAnsi"/>
          <w:color w:val="000000" w:themeColor="text1"/>
          <w:sz w:val="24"/>
          <w:szCs w:val="24"/>
          <w:shd w:val="clear" w:color="auto" w:fill="FFFFFF"/>
        </w:rPr>
        <w:t xml:space="preserve">guidelines and </w:t>
      </w:r>
      <w:r>
        <w:rPr>
          <w:rFonts w:cstheme="minorHAnsi"/>
          <w:color w:val="000000" w:themeColor="text1"/>
          <w:sz w:val="24"/>
          <w:szCs w:val="24"/>
          <w:shd w:val="clear" w:color="auto" w:fill="FFFFFF"/>
        </w:rPr>
        <w:t xml:space="preserve">verify that all personnel working with animals </w:t>
      </w:r>
      <w:r w:rsidRPr="007A2ECE">
        <w:rPr>
          <w:rFonts w:cstheme="minorHAnsi"/>
          <w:color w:val="000000" w:themeColor="text1"/>
          <w:sz w:val="24"/>
          <w:szCs w:val="24"/>
          <w:shd w:val="clear" w:color="auto" w:fill="FFFFFF"/>
        </w:rPr>
        <w:t xml:space="preserve">are appropriately trained and qualified to care for the animals under their supervision. </w:t>
      </w:r>
    </w:p>
    <w:p w14:paraId="35797271" w14:textId="77777777" w:rsidR="00EE2B5C" w:rsidRDefault="00EE2B5C" w:rsidP="00EE2B5C">
      <w:pPr>
        <w:spacing w:after="0"/>
        <w:rPr>
          <w:sz w:val="24"/>
          <w:szCs w:val="24"/>
        </w:rPr>
      </w:pPr>
    </w:p>
    <w:p w14:paraId="0F282A0D" w14:textId="77777777" w:rsidR="00EE2B5C" w:rsidRPr="00B8212E" w:rsidRDefault="00EE2B5C" w:rsidP="00EE2B5C">
      <w:pPr>
        <w:spacing w:after="0"/>
        <w:rPr>
          <w:sz w:val="24"/>
          <w:szCs w:val="24"/>
        </w:rPr>
      </w:pPr>
    </w:p>
    <w:p w14:paraId="12E1F5C3" w14:textId="77777777" w:rsidR="00EE2B5C" w:rsidRDefault="00EE2B5C" w:rsidP="00EE2B5C">
      <w:pPr>
        <w:spacing w:after="0"/>
        <w:rPr>
          <w:sz w:val="24"/>
          <w:szCs w:val="24"/>
        </w:rPr>
      </w:pPr>
      <w:r>
        <w:rPr>
          <w:sz w:val="24"/>
          <w:szCs w:val="24"/>
        </w:rPr>
        <w:t>In order for research projects to receive funding from granting agencies, such as the Tri-Agencies Canada (NSERC/CIHR/SSHRC) they are reviewed in a competitive environment by a panel of experts to determine the scientific merit of the proposed project and its methodology.</w:t>
      </w:r>
    </w:p>
    <w:p w14:paraId="019E06CC" w14:textId="2FA3E46B" w:rsidR="00EE2B5C" w:rsidRDefault="00EE2B5C" w:rsidP="00EE2B5C">
      <w:pPr>
        <w:spacing w:after="0"/>
        <w:rPr>
          <w:sz w:val="24"/>
          <w:szCs w:val="24"/>
        </w:rPr>
      </w:pPr>
      <w:r>
        <w:rPr>
          <w:sz w:val="24"/>
          <w:szCs w:val="24"/>
        </w:rPr>
        <w:t xml:space="preserve">Protocols go through revisions and refinements to meet the satisfaction and approval of the ACC. Each approved protocol is subject to an annual review by the ACC as well as routine reviews through the post approval monitoring program. There are multiple levels of monitoring and all research must comply and adhere to regulations enforced by the CCAC and OMAFRA. </w:t>
      </w:r>
      <w:r w:rsidRPr="00B8212E">
        <w:rPr>
          <w:sz w:val="24"/>
          <w:szCs w:val="24"/>
        </w:rPr>
        <w:t xml:space="preserve">All procedures and facilities at Brock involving animal-based science are rigorously reviewed, inspected and regulated at federal, provincial and institutional levels by </w:t>
      </w:r>
      <w:r>
        <w:rPr>
          <w:sz w:val="24"/>
          <w:szCs w:val="24"/>
        </w:rPr>
        <w:t xml:space="preserve">these </w:t>
      </w:r>
      <w:r w:rsidRPr="00B8212E">
        <w:rPr>
          <w:sz w:val="24"/>
          <w:szCs w:val="24"/>
        </w:rPr>
        <w:t>qualified specialists</w:t>
      </w:r>
      <w:r>
        <w:rPr>
          <w:sz w:val="24"/>
          <w:szCs w:val="24"/>
        </w:rPr>
        <w:t>.</w:t>
      </w:r>
    </w:p>
    <w:p w14:paraId="26776221" w14:textId="77777777" w:rsidR="00EE2B5C" w:rsidRDefault="00EE2B5C" w:rsidP="00EE2B5C">
      <w:pPr>
        <w:spacing w:after="0"/>
        <w:rPr>
          <w:sz w:val="24"/>
          <w:szCs w:val="24"/>
        </w:rPr>
      </w:pPr>
    </w:p>
    <w:p w14:paraId="4CFC514C" w14:textId="77777777" w:rsidR="00EE2B5C" w:rsidRDefault="00EE2B5C" w:rsidP="00EE2B5C">
      <w:pPr>
        <w:spacing w:after="0"/>
        <w:rPr>
          <w:sz w:val="24"/>
          <w:szCs w:val="24"/>
        </w:rPr>
      </w:pPr>
    </w:p>
    <w:p w14:paraId="5D6E6049" w14:textId="77777777" w:rsidR="00E73DC5" w:rsidRDefault="00E73DC5" w:rsidP="00EE2B5C">
      <w:pPr>
        <w:spacing w:after="0"/>
        <w:rPr>
          <w:b/>
          <w:sz w:val="26"/>
          <w:szCs w:val="26"/>
        </w:rPr>
      </w:pPr>
    </w:p>
    <w:p w14:paraId="06C7B6A1" w14:textId="45D72BAF" w:rsidR="00EE2B5C" w:rsidRPr="00E117AC" w:rsidRDefault="00EE2B5C" w:rsidP="00EE2B5C">
      <w:pPr>
        <w:spacing w:after="0"/>
        <w:rPr>
          <w:b/>
          <w:sz w:val="26"/>
          <w:szCs w:val="26"/>
        </w:rPr>
      </w:pPr>
      <w:r w:rsidRPr="00E117AC">
        <w:rPr>
          <w:b/>
          <w:sz w:val="26"/>
          <w:szCs w:val="26"/>
        </w:rPr>
        <w:t>202</w:t>
      </w:r>
      <w:r w:rsidR="00357929">
        <w:rPr>
          <w:b/>
          <w:sz w:val="26"/>
          <w:szCs w:val="26"/>
        </w:rPr>
        <w:t>1</w:t>
      </w:r>
      <w:r w:rsidRPr="00E117AC">
        <w:rPr>
          <w:b/>
          <w:sz w:val="26"/>
          <w:szCs w:val="26"/>
        </w:rPr>
        <w:t xml:space="preserve"> DATA</w:t>
      </w:r>
    </w:p>
    <w:tbl>
      <w:tblPr>
        <w:tblpPr w:leftFromText="180" w:rightFromText="180" w:vertAnchor="text" w:horzAnchor="margin" w:tblpY="13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120"/>
        <w:gridCol w:w="3120"/>
        <w:gridCol w:w="3120"/>
      </w:tblGrid>
      <w:tr w:rsidR="00D73223" w:rsidRPr="00B92C39" w14:paraId="0D9FB61C" w14:textId="77777777" w:rsidTr="00D73223">
        <w:trPr>
          <w:trHeight w:val="459"/>
        </w:trPr>
        <w:tc>
          <w:tcPr>
            <w:tcW w:w="3120" w:type="dxa"/>
            <w:shd w:val="clear" w:color="auto" w:fill="auto"/>
            <w:tcMar>
              <w:top w:w="80" w:type="dxa"/>
              <w:left w:w="80" w:type="dxa"/>
              <w:bottom w:w="80" w:type="dxa"/>
              <w:right w:w="80" w:type="dxa"/>
            </w:tcMar>
            <w:vAlign w:val="center"/>
          </w:tcPr>
          <w:p w14:paraId="4A78186E" w14:textId="77777777" w:rsidR="00D73223" w:rsidRPr="00B92C39" w:rsidRDefault="00D73223" w:rsidP="00D73223">
            <w:pPr>
              <w:spacing w:after="0"/>
              <w:jc w:val="center"/>
              <w:rPr>
                <w:sz w:val="24"/>
                <w:szCs w:val="24"/>
                <w:lang w:val="en-US"/>
              </w:rPr>
            </w:pPr>
            <w:r w:rsidRPr="00B92C39">
              <w:rPr>
                <w:b/>
                <w:bCs/>
                <w:sz w:val="24"/>
                <w:szCs w:val="24"/>
                <w:lang w:val="en-US"/>
              </w:rPr>
              <w:t>Animal Type</w:t>
            </w:r>
          </w:p>
        </w:tc>
        <w:tc>
          <w:tcPr>
            <w:tcW w:w="3120" w:type="dxa"/>
            <w:shd w:val="clear" w:color="auto" w:fill="auto"/>
            <w:tcMar>
              <w:top w:w="80" w:type="dxa"/>
              <w:left w:w="80" w:type="dxa"/>
              <w:bottom w:w="80" w:type="dxa"/>
              <w:right w:w="80" w:type="dxa"/>
            </w:tcMar>
            <w:vAlign w:val="center"/>
          </w:tcPr>
          <w:p w14:paraId="7C4E082D" w14:textId="77777777" w:rsidR="00D73223" w:rsidRPr="00B92C39" w:rsidRDefault="00D73223" w:rsidP="00D73223">
            <w:pPr>
              <w:spacing w:after="0"/>
              <w:jc w:val="center"/>
              <w:rPr>
                <w:sz w:val="24"/>
                <w:szCs w:val="24"/>
                <w:lang w:val="en-US"/>
              </w:rPr>
            </w:pPr>
            <w:r w:rsidRPr="00B92C39">
              <w:rPr>
                <w:b/>
                <w:bCs/>
                <w:sz w:val="24"/>
                <w:szCs w:val="24"/>
                <w:lang w:val="en-US"/>
              </w:rPr>
              <w:t>Number Used</w:t>
            </w:r>
          </w:p>
        </w:tc>
        <w:tc>
          <w:tcPr>
            <w:tcW w:w="3120" w:type="dxa"/>
            <w:shd w:val="clear" w:color="auto" w:fill="auto"/>
            <w:tcMar>
              <w:top w:w="80" w:type="dxa"/>
              <w:left w:w="80" w:type="dxa"/>
              <w:bottom w:w="80" w:type="dxa"/>
              <w:right w:w="80" w:type="dxa"/>
            </w:tcMar>
            <w:vAlign w:val="center"/>
          </w:tcPr>
          <w:p w14:paraId="589CACD8" w14:textId="77777777" w:rsidR="00D73223" w:rsidRPr="00B92C39" w:rsidRDefault="00D73223" w:rsidP="00D73223">
            <w:pPr>
              <w:spacing w:after="0"/>
              <w:jc w:val="center"/>
              <w:rPr>
                <w:sz w:val="24"/>
                <w:szCs w:val="24"/>
                <w:lang w:val="en-US"/>
              </w:rPr>
            </w:pPr>
            <w:r w:rsidRPr="00B92C39">
              <w:rPr>
                <w:b/>
                <w:bCs/>
                <w:sz w:val="24"/>
                <w:szCs w:val="24"/>
                <w:lang w:val="en-US"/>
              </w:rPr>
              <w:t>Percent %</w:t>
            </w:r>
          </w:p>
        </w:tc>
      </w:tr>
      <w:tr w:rsidR="00D73223" w:rsidRPr="00B92C39" w14:paraId="39B67D0D" w14:textId="77777777" w:rsidTr="00D73223">
        <w:trPr>
          <w:trHeight w:val="227"/>
        </w:trPr>
        <w:tc>
          <w:tcPr>
            <w:tcW w:w="3120" w:type="dxa"/>
            <w:shd w:val="clear" w:color="auto" w:fill="auto"/>
            <w:tcMar>
              <w:top w:w="80" w:type="dxa"/>
              <w:left w:w="80" w:type="dxa"/>
              <w:bottom w:w="80" w:type="dxa"/>
              <w:right w:w="80" w:type="dxa"/>
            </w:tcMar>
            <w:vAlign w:val="center"/>
          </w:tcPr>
          <w:p w14:paraId="431A0944" w14:textId="77777777" w:rsidR="00D73223" w:rsidRPr="00B92C39" w:rsidRDefault="00D73223" w:rsidP="00D73223">
            <w:pPr>
              <w:spacing w:after="0"/>
              <w:jc w:val="center"/>
              <w:rPr>
                <w:sz w:val="24"/>
                <w:szCs w:val="24"/>
                <w:lang w:val="en-US"/>
              </w:rPr>
            </w:pPr>
            <w:r w:rsidRPr="00B92C39">
              <w:rPr>
                <w:sz w:val="24"/>
                <w:szCs w:val="24"/>
                <w:lang w:val="en-US"/>
              </w:rPr>
              <w:t>R</w:t>
            </w:r>
            <w:r>
              <w:rPr>
                <w:sz w:val="24"/>
                <w:szCs w:val="24"/>
                <w:lang w:val="en-US"/>
              </w:rPr>
              <w:t>odents</w:t>
            </w:r>
          </w:p>
        </w:tc>
        <w:tc>
          <w:tcPr>
            <w:tcW w:w="3120" w:type="dxa"/>
            <w:shd w:val="clear" w:color="auto" w:fill="auto"/>
            <w:tcMar>
              <w:top w:w="80" w:type="dxa"/>
              <w:left w:w="80" w:type="dxa"/>
              <w:bottom w:w="80" w:type="dxa"/>
              <w:right w:w="80" w:type="dxa"/>
            </w:tcMar>
            <w:vAlign w:val="center"/>
          </w:tcPr>
          <w:p w14:paraId="58E25F47" w14:textId="483B3975" w:rsidR="00D73223" w:rsidRPr="00B92C39" w:rsidRDefault="00760698" w:rsidP="00D73223">
            <w:pPr>
              <w:spacing w:after="0"/>
              <w:jc w:val="center"/>
              <w:rPr>
                <w:sz w:val="24"/>
                <w:szCs w:val="24"/>
                <w:lang w:val="en-US"/>
              </w:rPr>
            </w:pPr>
            <w:r>
              <w:rPr>
                <w:sz w:val="24"/>
                <w:szCs w:val="24"/>
                <w:lang w:val="en-US"/>
              </w:rPr>
              <w:t>2220</w:t>
            </w:r>
          </w:p>
        </w:tc>
        <w:tc>
          <w:tcPr>
            <w:tcW w:w="3120" w:type="dxa"/>
            <w:shd w:val="clear" w:color="auto" w:fill="auto"/>
            <w:tcMar>
              <w:top w:w="80" w:type="dxa"/>
              <w:left w:w="80" w:type="dxa"/>
              <w:bottom w:w="80" w:type="dxa"/>
              <w:right w:w="80" w:type="dxa"/>
            </w:tcMar>
            <w:vAlign w:val="center"/>
          </w:tcPr>
          <w:p w14:paraId="7F6DFE02" w14:textId="076111CA" w:rsidR="00D73223" w:rsidRPr="00B92C39" w:rsidRDefault="006B7F4E" w:rsidP="00D73223">
            <w:pPr>
              <w:spacing w:after="0"/>
              <w:jc w:val="center"/>
              <w:rPr>
                <w:sz w:val="24"/>
                <w:szCs w:val="24"/>
                <w:lang w:val="en-US"/>
              </w:rPr>
            </w:pPr>
            <w:r>
              <w:rPr>
                <w:sz w:val="24"/>
                <w:szCs w:val="24"/>
                <w:lang w:val="en-US"/>
              </w:rPr>
              <w:t>90</w:t>
            </w:r>
          </w:p>
        </w:tc>
      </w:tr>
      <w:tr w:rsidR="00D73223" w:rsidRPr="00B92C39" w14:paraId="4C16AD88" w14:textId="77777777" w:rsidTr="00D73223">
        <w:trPr>
          <w:trHeight w:val="227"/>
        </w:trPr>
        <w:tc>
          <w:tcPr>
            <w:tcW w:w="3120" w:type="dxa"/>
            <w:shd w:val="clear" w:color="auto" w:fill="auto"/>
            <w:tcMar>
              <w:top w:w="80" w:type="dxa"/>
              <w:left w:w="80" w:type="dxa"/>
              <w:bottom w:w="80" w:type="dxa"/>
              <w:right w:w="80" w:type="dxa"/>
            </w:tcMar>
            <w:vAlign w:val="center"/>
          </w:tcPr>
          <w:p w14:paraId="28E82BF9" w14:textId="77777777" w:rsidR="00D73223" w:rsidRPr="00B92C39" w:rsidRDefault="00D73223" w:rsidP="00D73223">
            <w:pPr>
              <w:spacing w:after="0"/>
              <w:jc w:val="center"/>
              <w:rPr>
                <w:sz w:val="24"/>
                <w:szCs w:val="24"/>
                <w:lang w:val="en-US"/>
              </w:rPr>
            </w:pPr>
            <w:r>
              <w:rPr>
                <w:sz w:val="24"/>
                <w:szCs w:val="24"/>
                <w:lang w:val="en-US"/>
              </w:rPr>
              <w:t>Reptiles/Amphibians</w:t>
            </w:r>
          </w:p>
        </w:tc>
        <w:tc>
          <w:tcPr>
            <w:tcW w:w="3120" w:type="dxa"/>
            <w:shd w:val="clear" w:color="auto" w:fill="auto"/>
            <w:tcMar>
              <w:top w:w="80" w:type="dxa"/>
              <w:left w:w="80" w:type="dxa"/>
              <w:bottom w:w="80" w:type="dxa"/>
              <w:right w:w="80" w:type="dxa"/>
            </w:tcMar>
            <w:vAlign w:val="center"/>
          </w:tcPr>
          <w:p w14:paraId="6DEBB789" w14:textId="6C71D2C8" w:rsidR="00D73223" w:rsidRPr="00B92C39" w:rsidRDefault="000E08DA" w:rsidP="00D73223">
            <w:pPr>
              <w:spacing w:after="0"/>
              <w:jc w:val="center"/>
              <w:rPr>
                <w:sz w:val="24"/>
                <w:szCs w:val="24"/>
                <w:lang w:val="en-US"/>
              </w:rPr>
            </w:pPr>
            <w:r>
              <w:rPr>
                <w:sz w:val="24"/>
                <w:szCs w:val="24"/>
                <w:lang w:val="en-US"/>
              </w:rPr>
              <w:t>259</w:t>
            </w:r>
          </w:p>
        </w:tc>
        <w:tc>
          <w:tcPr>
            <w:tcW w:w="3120" w:type="dxa"/>
            <w:shd w:val="clear" w:color="auto" w:fill="auto"/>
            <w:tcMar>
              <w:top w:w="80" w:type="dxa"/>
              <w:left w:w="80" w:type="dxa"/>
              <w:bottom w:w="80" w:type="dxa"/>
              <w:right w:w="80" w:type="dxa"/>
            </w:tcMar>
            <w:vAlign w:val="center"/>
          </w:tcPr>
          <w:p w14:paraId="06ECF8EF" w14:textId="718C08F0" w:rsidR="00D73223" w:rsidRPr="00B92C39" w:rsidRDefault="000E08DA" w:rsidP="00D73223">
            <w:pPr>
              <w:spacing w:after="0"/>
              <w:jc w:val="center"/>
              <w:rPr>
                <w:sz w:val="24"/>
                <w:szCs w:val="24"/>
                <w:lang w:val="en-US"/>
              </w:rPr>
            </w:pPr>
            <w:r>
              <w:rPr>
                <w:sz w:val="24"/>
                <w:szCs w:val="24"/>
                <w:lang w:val="en-US"/>
              </w:rPr>
              <w:t>1</w:t>
            </w:r>
            <w:r w:rsidR="001A2699">
              <w:rPr>
                <w:sz w:val="24"/>
                <w:szCs w:val="24"/>
                <w:lang w:val="en-US"/>
              </w:rPr>
              <w:t>0</w:t>
            </w:r>
          </w:p>
        </w:tc>
      </w:tr>
      <w:tr w:rsidR="00D73223" w:rsidRPr="00B92C39" w14:paraId="344E6395" w14:textId="77777777" w:rsidTr="00D73223">
        <w:trPr>
          <w:trHeight w:val="227"/>
        </w:trPr>
        <w:tc>
          <w:tcPr>
            <w:tcW w:w="3120" w:type="dxa"/>
            <w:shd w:val="clear" w:color="auto" w:fill="auto"/>
            <w:tcMar>
              <w:top w:w="80" w:type="dxa"/>
              <w:left w:w="80" w:type="dxa"/>
              <w:bottom w:w="80" w:type="dxa"/>
              <w:right w:w="80" w:type="dxa"/>
            </w:tcMar>
            <w:vAlign w:val="center"/>
          </w:tcPr>
          <w:p w14:paraId="1D0C29E7" w14:textId="77777777" w:rsidR="00D73223" w:rsidRPr="00B92C39" w:rsidRDefault="00D73223" w:rsidP="00D73223">
            <w:pPr>
              <w:spacing w:after="0"/>
              <w:jc w:val="center"/>
              <w:rPr>
                <w:sz w:val="24"/>
                <w:szCs w:val="24"/>
                <w:lang w:val="en-US"/>
              </w:rPr>
            </w:pPr>
            <w:r w:rsidRPr="00B92C39">
              <w:rPr>
                <w:b/>
                <w:bCs/>
                <w:sz w:val="24"/>
                <w:szCs w:val="24"/>
                <w:lang w:val="en-US"/>
              </w:rPr>
              <w:t>Total</w:t>
            </w:r>
          </w:p>
        </w:tc>
        <w:tc>
          <w:tcPr>
            <w:tcW w:w="3120" w:type="dxa"/>
            <w:shd w:val="clear" w:color="auto" w:fill="auto"/>
            <w:tcMar>
              <w:top w:w="80" w:type="dxa"/>
              <w:left w:w="80" w:type="dxa"/>
              <w:bottom w:w="80" w:type="dxa"/>
              <w:right w:w="80" w:type="dxa"/>
            </w:tcMar>
            <w:vAlign w:val="center"/>
          </w:tcPr>
          <w:p w14:paraId="76B0412E" w14:textId="58BDA119" w:rsidR="00D73223" w:rsidRPr="00B92C39" w:rsidRDefault="00395E7C" w:rsidP="00D73223">
            <w:pPr>
              <w:spacing w:after="0"/>
              <w:jc w:val="center"/>
              <w:rPr>
                <w:sz w:val="24"/>
                <w:szCs w:val="24"/>
                <w:lang w:val="en-US"/>
              </w:rPr>
            </w:pPr>
            <w:r>
              <w:rPr>
                <w:b/>
                <w:bCs/>
                <w:sz w:val="24"/>
                <w:szCs w:val="24"/>
                <w:lang w:val="en-US"/>
              </w:rPr>
              <w:t>2</w:t>
            </w:r>
            <w:r w:rsidR="00E231AA">
              <w:rPr>
                <w:b/>
                <w:bCs/>
                <w:sz w:val="24"/>
                <w:szCs w:val="24"/>
                <w:lang w:val="en-US"/>
              </w:rPr>
              <w:t>479</w:t>
            </w:r>
          </w:p>
        </w:tc>
        <w:tc>
          <w:tcPr>
            <w:tcW w:w="3120" w:type="dxa"/>
            <w:shd w:val="clear" w:color="auto" w:fill="auto"/>
            <w:tcMar>
              <w:top w:w="80" w:type="dxa"/>
              <w:left w:w="80" w:type="dxa"/>
              <w:bottom w:w="80" w:type="dxa"/>
              <w:right w:w="80" w:type="dxa"/>
            </w:tcMar>
            <w:vAlign w:val="center"/>
          </w:tcPr>
          <w:p w14:paraId="62C17FBD" w14:textId="77777777" w:rsidR="00D73223" w:rsidRPr="00B92C39" w:rsidRDefault="00D73223" w:rsidP="00D73223">
            <w:pPr>
              <w:spacing w:after="0"/>
              <w:jc w:val="center"/>
              <w:rPr>
                <w:sz w:val="24"/>
                <w:szCs w:val="24"/>
                <w:lang w:val="en-US"/>
              </w:rPr>
            </w:pPr>
            <w:r w:rsidRPr="00B92C39">
              <w:rPr>
                <w:b/>
                <w:bCs/>
                <w:sz w:val="24"/>
                <w:szCs w:val="24"/>
                <w:lang w:val="en-US"/>
              </w:rPr>
              <w:t>100</w:t>
            </w:r>
          </w:p>
        </w:tc>
      </w:tr>
    </w:tbl>
    <w:p w14:paraId="36B5EA66" w14:textId="77777777" w:rsidR="00EE2B5C" w:rsidRPr="00D029F6" w:rsidRDefault="00EE2B5C" w:rsidP="00EE2B5C">
      <w:pPr>
        <w:spacing w:after="0"/>
        <w:rPr>
          <w:b/>
          <w:sz w:val="28"/>
          <w:szCs w:val="28"/>
        </w:rPr>
      </w:pPr>
    </w:p>
    <w:p w14:paraId="19D3B639" w14:textId="77777777" w:rsidR="00EE2B5C" w:rsidRDefault="00EE2B5C" w:rsidP="00EE2B5C">
      <w:pPr>
        <w:spacing w:after="0"/>
        <w:rPr>
          <w:sz w:val="24"/>
          <w:szCs w:val="24"/>
        </w:rPr>
      </w:pPr>
      <w:r>
        <w:rPr>
          <w:noProof/>
          <w:sz w:val="24"/>
          <w:szCs w:val="24"/>
        </w:rPr>
        <w:drawing>
          <wp:inline distT="0" distB="0" distL="0" distR="0" wp14:anchorId="59F205F5" wp14:editId="0786E779">
            <wp:extent cx="5955030" cy="2581275"/>
            <wp:effectExtent l="0" t="0" r="7620" b="952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A026998" w14:textId="77777777" w:rsidR="00EE2B5C" w:rsidRPr="009E1C27" w:rsidRDefault="00EE2B5C" w:rsidP="00EE2B5C">
      <w:pPr>
        <w:spacing w:after="0"/>
        <w:rPr>
          <w:sz w:val="24"/>
          <w:szCs w:val="24"/>
        </w:rPr>
      </w:pPr>
    </w:p>
    <w:p w14:paraId="7999D198" w14:textId="3CE8EB61" w:rsidR="00EE2B5C" w:rsidRDefault="00EE2B5C" w:rsidP="00EE2B5C">
      <w:pPr>
        <w:spacing w:after="0"/>
        <w:rPr>
          <w:b/>
          <w:sz w:val="24"/>
          <w:szCs w:val="24"/>
        </w:rPr>
      </w:pPr>
    </w:p>
    <w:p w14:paraId="4E9AB7E3" w14:textId="208D5C87" w:rsidR="00304DFC" w:rsidRDefault="00304DFC" w:rsidP="00EE2B5C">
      <w:pPr>
        <w:spacing w:after="0"/>
        <w:rPr>
          <w:b/>
          <w:sz w:val="24"/>
          <w:szCs w:val="24"/>
        </w:rPr>
      </w:pPr>
    </w:p>
    <w:p w14:paraId="6A237172" w14:textId="6CC40A6A" w:rsidR="00304DFC" w:rsidRDefault="00304DFC" w:rsidP="00EE2B5C">
      <w:pPr>
        <w:spacing w:after="0"/>
        <w:rPr>
          <w:b/>
          <w:sz w:val="24"/>
          <w:szCs w:val="24"/>
        </w:rPr>
      </w:pPr>
    </w:p>
    <w:p w14:paraId="37D062D8" w14:textId="506CC652" w:rsidR="00304DFC" w:rsidRDefault="00304DFC" w:rsidP="00EE2B5C">
      <w:pPr>
        <w:spacing w:after="0"/>
        <w:rPr>
          <w:b/>
          <w:sz w:val="24"/>
          <w:szCs w:val="24"/>
        </w:rPr>
      </w:pPr>
    </w:p>
    <w:p w14:paraId="7801070F" w14:textId="5A78D165" w:rsidR="00304DFC" w:rsidRDefault="00304DFC" w:rsidP="00EE2B5C">
      <w:pPr>
        <w:spacing w:after="0"/>
        <w:rPr>
          <w:b/>
          <w:sz w:val="24"/>
          <w:szCs w:val="24"/>
        </w:rPr>
      </w:pPr>
    </w:p>
    <w:p w14:paraId="6805EEC6" w14:textId="46A60F06" w:rsidR="00304DFC" w:rsidRDefault="00304DFC" w:rsidP="00EE2B5C">
      <w:pPr>
        <w:spacing w:after="0"/>
        <w:rPr>
          <w:b/>
          <w:sz w:val="24"/>
          <w:szCs w:val="24"/>
        </w:rPr>
      </w:pPr>
    </w:p>
    <w:p w14:paraId="6B9B4500" w14:textId="3EB2F973" w:rsidR="00304DFC" w:rsidRDefault="00304DFC" w:rsidP="00EE2B5C">
      <w:pPr>
        <w:spacing w:after="0"/>
        <w:rPr>
          <w:b/>
          <w:sz w:val="24"/>
          <w:szCs w:val="24"/>
        </w:rPr>
      </w:pPr>
    </w:p>
    <w:p w14:paraId="731892B5" w14:textId="10C1131B" w:rsidR="00304DFC" w:rsidRDefault="00304DFC" w:rsidP="00EE2B5C">
      <w:pPr>
        <w:spacing w:after="0"/>
        <w:rPr>
          <w:b/>
          <w:sz w:val="24"/>
          <w:szCs w:val="24"/>
        </w:rPr>
      </w:pPr>
    </w:p>
    <w:p w14:paraId="5A06B545" w14:textId="4E64F653" w:rsidR="00304DFC" w:rsidRDefault="00304DFC" w:rsidP="00EE2B5C">
      <w:pPr>
        <w:spacing w:after="0"/>
        <w:rPr>
          <w:b/>
          <w:sz w:val="24"/>
          <w:szCs w:val="24"/>
        </w:rPr>
      </w:pPr>
    </w:p>
    <w:p w14:paraId="124ABB53" w14:textId="58012B94" w:rsidR="00304DFC" w:rsidRDefault="00304DFC" w:rsidP="00EE2B5C">
      <w:pPr>
        <w:spacing w:after="0"/>
        <w:rPr>
          <w:b/>
          <w:sz w:val="24"/>
          <w:szCs w:val="24"/>
        </w:rPr>
      </w:pPr>
    </w:p>
    <w:p w14:paraId="3FF1B118" w14:textId="3623C7E0" w:rsidR="00304DFC" w:rsidRDefault="00304DFC" w:rsidP="00EE2B5C">
      <w:pPr>
        <w:spacing w:after="0"/>
        <w:rPr>
          <w:b/>
          <w:sz w:val="24"/>
          <w:szCs w:val="24"/>
        </w:rPr>
      </w:pPr>
    </w:p>
    <w:p w14:paraId="577B77E6" w14:textId="6AB3A513" w:rsidR="00304DFC" w:rsidRDefault="00304DFC" w:rsidP="00EE2B5C">
      <w:pPr>
        <w:spacing w:after="0"/>
        <w:rPr>
          <w:b/>
          <w:sz w:val="24"/>
          <w:szCs w:val="24"/>
        </w:rPr>
      </w:pPr>
    </w:p>
    <w:p w14:paraId="08D0B534" w14:textId="49C44390" w:rsidR="00357929" w:rsidRDefault="00357929" w:rsidP="00EE2B5C">
      <w:pPr>
        <w:spacing w:after="0"/>
        <w:rPr>
          <w:b/>
          <w:sz w:val="24"/>
          <w:szCs w:val="24"/>
        </w:rPr>
      </w:pPr>
    </w:p>
    <w:p w14:paraId="0960C395" w14:textId="603BDD8E" w:rsidR="00357929" w:rsidRDefault="00357929" w:rsidP="00EE2B5C">
      <w:pPr>
        <w:spacing w:after="0"/>
        <w:rPr>
          <w:b/>
          <w:sz w:val="24"/>
          <w:szCs w:val="24"/>
        </w:rPr>
      </w:pPr>
    </w:p>
    <w:p w14:paraId="73AF73CA" w14:textId="2CF9F91B" w:rsidR="00357929" w:rsidRDefault="00357929" w:rsidP="00EE2B5C">
      <w:pPr>
        <w:spacing w:after="0"/>
        <w:rPr>
          <w:b/>
          <w:sz w:val="24"/>
          <w:szCs w:val="24"/>
        </w:rPr>
      </w:pPr>
    </w:p>
    <w:p w14:paraId="0CD649DE" w14:textId="77777777" w:rsidR="00357929" w:rsidRDefault="00357929" w:rsidP="00EE2B5C">
      <w:pPr>
        <w:spacing w:after="0"/>
        <w:rPr>
          <w:b/>
          <w:sz w:val="24"/>
          <w:szCs w:val="24"/>
        </w:rPr>
      </w:pPr>
    </w:p>
    <w:p w14:paraId="1D0AAB35" w14:textId="77777777" w:rsidR="00EE2B5C" w:rsidRDefault="00EE2B5C" w:rsidP="00EE2B5C">
      <w:pPr>
        <w:spacing w:after="0"/>
        <w:rPr>
          <w:b/>
          <w:sz w:val="24"/>
          <w:szCs w:val="24"/>
        </w:rPr>
      </w:pPr>
    </w:p>
    <w:p w14:paraId="3D56D4D0" w14:textId="77777777" w:rsidR="00EE2B5C" w:rsidRDefault="00EE2B5C" w:rsidP="00EE2B5C">
      <w:pPr>
        <w:spacing w:after="0"/>
        <w:rPr>
          <w:b/>
          <w:sz w:val="24"/>
          <w:szCs w:val="24"/>
        </w:rPr>
      </w:pPr>
      <w:r w:rsidRPr="00893805">
        <w:rPr>
          <w:b/>
          <w:sz w:val="24"/>
          <w:szCs w:val="24"/>
        </w:rPr>
        <w:lastRenderedPageBreak/>
        <w:t>Animals Involved in Research</w:t>
      </w:r>
      <w:r>
        <w:rPr>
          <w:b/>
          <w:sz w:val="24"/>
          <w:szCs w:val="24"/>
        </w:rPr>
        <w:t>:</w:t>
      </w:r>
    </w:p>
    <w:p w14:paraId="472F111E" w14:textId="77777777" w:rsidR="00EE2B5C" w:rsidRDefault="00EE2B5C" w:rsidP="00EE2B5C">
      <w:pPr>
        <w:spacing w:after="0"/>
        <w:rPr>
          <w:b/>
          <w:sz w:val="24"/>
          <w:szCs w:val="24"/>
        </w:rPr>
      </w:pPr>
    </w:p>
    <w:p w14:paraId="73B098C4" w14:textId="77777777" w:rsidR="00EE2B5C" w:rsidRDefault="00EE2B5C" w:rsidP="00EE2B5C">
      <w:pPr>
        <w:spacing w:after="0"/>
        <w:rPr>
          <w:b/>
          <w:sz w:val="24"/>
          <w:szCs w:val="24"/>
        </w:rPr>
      </w:pPr>
      <w:r w:rsidRPr="00893805">
        <w:rPr>
          <w:sz w:val="24"/>
          <w:szCs w:val="24"/>
        </w:rPr>
        <w:t xml:space="preserve">The Canadian Council on Animal Care (CCAC) </w:t>
      </w:r>
      <w:r>
        <w:rPr>
          <w:sz w:val="24"/>
          <w:szCs w:val="24"/>
        </w:rPr>
        <w:t>assigns</w:t>
      </w:r>
      <w:r w:rsidRPr="00893805">
        <w:rPr>
          <w:sz w:val="24"/>
          <w:szCs w:val="24"/>
        </w:rPr>
        <w:t xml:space="preserve"> animal research into five Categories of Invasiveness (A to E).</w:t>
      </w:r>
      <w:r>
        <w:rPr>
          <w:sz w:val="24"/>
          <w:szCs w:val="24"/>
        </w:rPr>
        <w:t xml:space="preserve"> </w:t>
      </w:r>
      <w:hyperlink r:id="rId7" w:history="1">
        <w:r w:rsidRPr="00EE4E7E">
          <w:rPr>
            <w:rStyle w:val="Hyperlink"/>
            <w:b/>
            <w:sz w:val="24"/>
            <w:szCs w:val="24"/>
          </w:rPr>
          <w:t>https://www.ccac.ca/Documents/Standards/Policies/Categories_of_invasiveness.pdf</w:t>
        </w:r>
      </w:hyperlink>
    </w:p>
    <w:p w14:paraId="58E1947B" w14:textId="77777777" w:rsidR="00EE2B5C" w:rsidRDefault="00EE2B5C" w:rsidP="00EE2B5C">
      <w:pPr>
        <w:spacing w:after="0"/>
        <w:rPr>
          <w:b/>
          <w:sz w:val="24"/>
          <w:szCs w:val="24"/>
        </w:rPr>
      </w:pPr>
    </w:p>
    <w:p w14:paraId="610A277F" w14:textId="77777777" w:rsidR="00EE2B5C" w:rsidRDefault="00EE2B5C" w:rsidP="00EE2B5C">
      <w:pPr>
        <w:spacing w:after="0" w:line="240" w:lineRule="auto"/>
        <w:rPr>
          <w:sz w:val="24"/>
          <w:szCs w:val="24"/>
        </w:rPr>
      </w:pPr>
      <w:r w:rsidRPr="00893805">
        <w:rPr>
          <w:sz w:val="24"/>
          <w:szCs w:val="24"/>
        </w:rPr>
        <w:t>Category A includes most experiments involving tissue cultures, eggs and single-cell organisms, and does not require annual reporting.</w:t>
      </w:r>
    </w:p>
    <w:p w14:paraId="5D9A13CB" w14:textId="77777777" w:rsidR="00EE2B5C" w:rsidRPr="00896A10" w:rsidRDefault="00EE2B5C" w:rsidP="00EE2B5C">
      <w:pPr>
        <w:spacing w:after="0" w:line="240" w:lineRule="auto"/>
        <w:rPr>
          <w:sz w:val="24"/>
          <w:szCs w:val="24"/>
        </w:rPr>
      </w:pPr>
    </w:p>
    <w:p w14:paraId="7AF638B8" w14:textId="77777777" w:rsidR="00EE2B5C" w:rsidRDefault="00EE2B5C" w:rsidP="00EE2B5C">
      <w:pPr>
        <w:spacing w:after="0" w:line="240" w:lineRule="auto"/>
        <w:rPr>
          <w:sz w:val="24"/>
          <w:szCs w:val="24"/>
        </w:rPr>
      </w:pPr>
      <w:r w:rsidRPr="00896A10">
        <w:rPr>
          <w:sz w:val="24"/>
          <w:szCs w:val="24"/>
        </w:rPr>
        <w:t>Category B and C, i</w:t>
      </w:r>
      <w:r>
        <w:rPr>
          <w:sz w:val="24"/>
          <w:szCs w:val="24"/>
        </w:rPr>
        <w:t>nclude</w:t>
      </w:r>
      <w:r w:rsidRPr="00896A10">
        <w:rPr>
          <w:sz w:val="24"/>
          <w:szCs w:val="24"/>
        </w:rPr>
        <w:t xml:space="preserve"> invasiveness ranged from little discomfort and stress</w:t>
      </w:r>
      <w:r>
        <w:rPr>
          <w:sz w:val="24"/>
          <w:szCs w:val="24"/>
        </w:rPr>
        <w:t>,</w:t>
      </w:r>
      <w:r w:rsidRPr="00896A10">
        <w:rPr>
          <w:sz w:val="24"/>
          <w:szCs w:val="24"/>
        </w:rPr>
        <w:t xml:space="preserve"> to minor stress and</w:t>
      </w:r>
      <w:r>
        <w:rPr>
          <w:sz w:val="24"/>
          <w:szCs w:val="24"/>
        </w:rPr>
        <w:t xml:space="preserve"> </w:t>
      </w:r>
      <w:r w:rsidRPr="00896A10">
        <w:rPr>
          <w:sz w:val="24"/>
          <w:szCs w:val="24"/>
        </w:rPr>
        <w:t>pain. This could include observation in the wild, brief periods of restraint, taking blood</w:t>
      </w:r>
      <w:r>
        <w:rPr>
          <w:sz w:val="24"/>
          <w:szCs w:val="24"/>
        </w:rPr>
        <w:t xml:space="preserve"> </w:t>
      </w:r>
      <w:r w:rsidRPr="00896A10">
        <w:rPr>
          <w:sz w:val="24"/>
          <w:szCs w:val="24"/>
        </w:rPr>
        <w:t>samples and</w:t>
      </w:r>
      <w:r>
        <w:rPr>
          <w:sz w:val="24"/>
          <w:szCs w:val="24"/>
        </w:rPr>
        <w:t>/or</w:t>
      </w:r>
      <w:r w:rsidRPr="00896A10">
        <w:rPr>
          <w:sz w:val="24"/>
          <w:szCs w:val="24"/>
        </w:rPr>
        <w:t xml:space="preserve"> minor surgical procedures under anesthesia.</w:t>
      </w:r>
    </w:p>
    <w:p w14:paraId="52EAF336" w14:textId="77777777" w:rsidR="00EE2B5C" w:rsidRDefault="00EE2B5C" w:rsidP="00EE2B5C">
      <w:pPr>
        <w:spacing w:after="0" w:line="240" w:lineRule="auto"/>
        <w:rPr>
          <w:sz w:val="24"/>
          <w:szCs w:val="24"/>
        </w:rPr>
      </w:pPr>
    </w:p>
    <w:p w14:paraId="1A814EF0" w14:textId="61FF1E03" w:rsidR="00EE2B5C" w:rsidRDefault="00EE2B5C" w:rsidP="00EE2B5C">
      <w:pPr>
        <w:spacing w:after="0" w:line="240" w:lineRule="auto"/>
        <w:rPr>
          <w:sz w:val="24"/>
          <w:szCs w:val="24"/>
        </w:rPr>
      </w:pPr>
      <w:r w:rsidRPr="00896A10">
        <w:rPr>
          <w:sz w:val="24"/>
          <w:szCs w:val="24"/>
        </w:rPr>
        <w:t>Category</w:t>
      </w:r>
      <w:r>
        <w:rPr>
          <w:sz w:val="24"/>
          <w:szCs w:val="24"/>
        </w:rPr>
        <w:t xml:space="preserve"> </w:t>
      </w:r>
      <w:r w:rsidRPr="00896A10">
        <w:rPr>
          <w:sz w:val="24"/>
          <w:szCs w:val="24"/>
        </w:rPr>
        <w:t>D</w:t>
      </w:r>
      <w:r>
        <w:rPr>
          <w:sz w:val="24"/>
          <w:szCs w:val="24"/>
        </w:rPr>
        <w:t xml:space="preserve"> Invasiveness</w:t>
      </w:r>
      <w:r w:rsidRPr="00896A10">
        <w:rPr>
          <w:sz w:val="24"/>
          <w:szCs w:val="24"/>
        </w:rPr>
        <w:t>, which involve</w:t>
      </w:r>
      <w:r>
        <w:rPr>
          <w:sz w:val="24"/>
          <w:szCs w:val="24"/>
        </w:rPr>
        <w:t>s</w:t>
      </w:r>
      <w:r w:rsidRPr="00896A10">
        <w:rPr>
          <w:sz w:val="24"/>
          <w:szCs w:val="24"/>
        </w:rPr>
        <w:t xml:space="preserve"> major surgical procedures under general anesthesia with use of</w:t>
      </w:r>
      <w:r>
        <w:rPr>
          <w:sz w:val="24"/>
          <w:szCs w:val="24"/>
        </w:rPr>
        <w:t xml:space="preserve"> </w:t>
      </w:r>
      <w:r w:rsidRPr="00896A10">
        <w:rPr>
          <w:sz w:val="24"/>
          <w:szCs w:val="24"/>
        </w:rPr>
        <w:t>appropriate analgesia.</w:t>
      </w:r>
    </w:p>
    <w:p w14:paraId="132F4DFB" w14:textId="77777777" w:rsidR="005F585B" w:rsidRDefault="005F585B" w:rsidP="00EE2B5C">
      <w:pPr>
        <w:spacing w:after="0" w:line="240" w:lineRule="auto"/>
        <w:rPr>
          <w:sz w:val="24"/>
          <w:szCs w:val="24"/>
        </w:rPr>
      </w:pPr>
    </w:p>
    <w:tbl>
      <w:tblPr>
        <w:tblStyle w:val="TableGrid"/>
        <w:tblpPr w:leftFromText="180" w:rightFromText="180" w:vertAnchor="text" w:tblpY="55"/>
        <w:tblW w:w="0" w:type="auto"/>
        <w:tblLook w:val="04A0" w:firstRow="1" w:lastRow="0" w:firstColumn="1" w:lastColumn="0" w:noHBand="0" w:noVBand="1"/>
      </w:tblPr>
      <w:tblGrid>
        <w:gridCol w:w="3081"/>
        <w:gridCol w:w="3082"/>
        <w:gridCol w:w="3082"/>
      </w:tblGrid>
      <w:tr w:rsidR="00D73223" w14:paraId="622B8AC8" w14:textId="77777777" w:rsidTr="00D73223">
        <w:trPr>
          <w:trHeight w:val="400"/>
        </w:trPr>
        <w:tc>
          <w:tcPr>
            <w:tcW w:w="3081" w:type="dxa"/>
          </w:tcPr>
          <w:p w14:paraId="23A9C356" w14:textId="77777777" w:rsidR="00D73223" w:rsidRPr="00E80056" w:rsidRDefault="00D73223" w:rsidP="00D73223">
            <w:pPr>
              <w:jc w:val="center"/>
              <w:rPr>
                <w:b/>
                <w:sz w:val="24"/>
                <w:szCs w:val="24"/>
              </w:rPr>
            </w:pPr>
            <w:r w:rsidRPr="00E80056">
              <w:rPr>
                <w:b/>
                <w:sz w:val="24"/>
                <w:szCs w:val="24"/>
              </w:rPr>
              <w:t>Category of Invasiveness</w:t>
            </w:r>
          </w:p>
        </w:tc>
        <w:tc>
          <w:tcPr>
            <w:tcW w:w="3082" w:type="dxa"/>
          </w:tcPr>
          <w:p w14:paraId="42B78D9A" w14:textId="77777777" w:rsidR="00D73223" w:rsidRPr="00E80056" w:rsidRDefault="00D73223" w:rsidP="00D73223">
            <w:pPr>
              <w:jc w:val="center"/>
              <w:rPr>
                <w:b/>
                <w:sz w:val="24"/>
                <w:szCs w:val="24"/>
              </w:rPr>
            </w:pPr>
            <w:r w:rsidRPr="00E80056">
              <w:rPr>
                <w:b/>
                <w:sz w:val="24"/>
                <w:szCs w:val="24"/>
              </w:rPr>
              <w:t>Number of protocols</w:t>
            </w:r>
          </w:p>
        </w:tc>
        <w:tc>
          <w:tcPr>
            <w:tcW w:w="3082" w:type="dxa"/>
          </w:tcPr>
          <w:p w14:paraId="16C0167E" w14:textId="77777777" w:rsidR="00D73223" w:rsidRPr="00E80056" w:rsidRDefault="00D73223" w:rsidP="00D73223">
            <w:pPr>
              <w:jc w:val="center"/>
              <w:rPr>
                <w:b/>
                <w:sz w:val="24"/>
                <w:szCs w:val="24"/>
              </w:rPr>
            </w:pPr>
            <w:r w:rsidRPr="00E80056">
              <w:rPr>
                <w:b/>
                <w:sz w:val="24"/>
                <w:szCs w:val="24"/>
              </w:rPr>
              <w:t>Percentage</w:t>
            </w:r>
          </w:p>
        </w:tc>
      </w:tr>
      <w:tr w:rsidR="00D73223" w14:paraId="69273540" w14:textId="77777777" w:rsidTr="00D73223">
        <w:trPr>
          <w:trHeight w:val="400"/>
        </w:trPr>
        <w:tc>
          <w:tcPr>
            <w:tcW w:w="3081" w:type="dxa"/>
          </w:tcPr>
          <w:p w14:paraId="3B77FE89" w14:textId="77777777" w:rsidR="00D73223" w:rsidRDefault="00D73223" w:rsidP="00D73223">
            <w:pPr>
              <w:jc w:val="center"/>
              <w:rPr>
                <w:sz w:val="24"/>
                <w:szCs w:val="24"/>
              </w:rPr>
            </w:pPr>
            <w:r>
              <w:rPr>
                <w:sz w:val="24"/>
                <w:szCs w:val="24"/>
              </w:rPr>
              <w:t>A</w:t>
            </w:r>
          </w:p>
        </w:tc>
        <w:tc>
          <w:tcPr>
            <w:tcW w:w="3082" w:type="dxa"/>
          </w:tcPr>
          <w:p w14:paraId="056CAC7C" w14:textId="77777777" w:rsidR="00D73223" w:rsidRDefault="00D73223" w:rsidP="00D73223">
            <w:pPr>
              <w:jc w:val="center"/>
              <w:rPr>
                <w:sz w:val="24"/>
                <w:szCs w:val="24"/>
              </w:rPr>
            </w:pPr>
            <w:r>
              <w:rPr>
                <w:sz w:val="24"/>
                <w:szCs w:val="24"/>
              </w:rPr>
              <w:t>2</w:t>
            </w:r>
          </w:p>
        </w:tc>
        <w:tc>
          <w:tcPr>
            <w:tcW w:w="3082" w:type="dxa"/>
          </w:tcPr>
          <w:p w14:paraId="3521B4F0" w14:textId="74E5E359" w:rsidR="00D73223" w:rsidRDefault="00712EB3" w:rsidP="00D73223">
            <w:pPr>
              <w:jc w:val="center"/>
              <w:rPr>
                <w:sz w:val="24"/>
                <w:szCs w:val="24"/>
              </w:rPr>
            </w:pPr>
            <w:r>
              <w:rPr>
                <w:sz w:val="24"/>
                <w:szCs w:val="24"/>
              </w:rPr>
              <w:t>3.5</w:t>
            </w:r>
          </w:p>
        </w:tc>
      </w:tr>
      <w:tr w:rsidR="00D73223" w14:paraId="1FEEF086" w14:textId="77777777" w:rsidTr="00D73223">
        <w:trPr>
          <w:trHeight w:val="400"/>
        </w:trPr>
        <w:tc>
          <w:tcPr>
            <w:tcW w:w="3081" w:type="dxa"/>
          </w:tcPr>
          <w:p w14:paraId="2032BED4" w14:textId="77777777" w:rsidR="00D73223" w:rsidRDefault="00D73223" w:rsidP="00D73223">
            <w:pPr>
              <w:jc w:val="center"/>
              <w:rPr>
                <w:sz w:val="24"/>
                <w:szCs w:val="24"/>
              </w:rPr>
            </w:pPr>
            <w:r>
              <w:rPr>
                <w:sz w:val="24"/>
                <w:szCs w:val="24"/>
              </w:rPr>
              <w:t>B</w:t>
            </w:r>
          </w:p>
        </w:tc>
        <w:tc>
          <w:tcPr>
            <w:tcW w:w="3082" w:type="dxa"/>
          </w:tcPr>
          <w:p w14:paraId="55CF980A" w14:textId="64F6AB77" w:rsidR="00D73223" w:rsidRDefault="00D73223" w:rsidP="00D73223">
            <w:pPr>
              <w:jc w:val="center"/>
              <w:rPr>
                <w:sz w:val="24"/>
                <w:szCs w:val="24"/>
              </w:rPr>
            </w:pPr>
            <w:r>
              <w:rPr>
                <w:sz w:val="24"/>
                <w:szCs w:val="24"/>
              </w:rPr>
              <w:t>2</w:t>
            </w:r>
            <w:r w:rsidR="0054570B">
              <w:rPr>
                <w:sz w:val="24"/>
                <w:szCs w:val="24"/>
              </w:rPr>
              <w:t>5</w:t>
            </w:r>
          </w:p>
        </w:tc>
        <w:tc>
          <w:tcPr>
            <w:tcW w:w="3082" w:type="dxa"/>
          </w:tcPr>
          <w:p w14:paraId="1808AD59" w14:textId="1EC4D4C8" w:rsidR="00D73223" w:rsidRDefault="00712EB3" w:rsidP="00D73223">
            <w:pPr>
              <w:jc w:val="center"/>
              <w:rPr>
                <w:sz w:val="24"/>
                <w:szCs w:val="24"/>
              </w:rPr>
            </w:pPr>
            <w:r>
              <w:rPr>
                <w:sz w:val="24"/>
                <w:szCs w:val="24"/>
              </w:rPr>
              <w:t>43</w:t>
            </w:r>
          </w:p>
        </w:tc>
      </w:tr>
      <w:tr w:rsidR="00D73223" w14:paraId="35F6B739" w14:textId="77777777" w:rsidTr="00D73223">
        <w:trPr>
          <w:trHeight w:val="421"/>
        </w:trPr>
        <w:tc>
          <w:tcPr>
            <w:tcW w:w="3081" w:type="dxa"/>
          </w:tcPr>
          <w:p w14:paraId="2C8DF935" w14:textId="77777777" w:rsidR="00D73223" w:rsidRDefault="00D73223" w:rsidP="00D73223">
            <w:pPr>
              <w:jc w:val="center"/>
              <w:rPr>
                <w:sz w:val="24"/>
                <w:szCs w:val="24"/>
              </w:rPr>
            </w:pPr>
            <w:r>
              <w:rPr>
                <w:sz w:val="24"/>
                <w:szCs w:val="24"/>
              </w:rPr>
              <w:t>C</w:t>
            </w:r>
          </w:p>
        </w:tc>
        <w:tc>
          <w:tcPr>
            <w:tcW w:w="3082" w:type="dxa"/>
          </w:tcPr>
          <w:p w14:paraId="5D9E2664" w14:textId="3D99E960" w:rsidR="00D73223" w:rsidRDefault="006232C6" w:rsidP="00D73223">
            <w:pPr>
              <w:jc w:val="center"/>
              <w:rPr>
                <w:sz w:val="24"/>
                <w:szCs w:val="24"/>
              </w:rPr>
            </w:pPr>
            <w:r>
              <w:rPr>
                <w:sz w:val="24"/>
                <w:szCs w:val="24"/>
              </w:rPr>
              <w:t>2</w:t>
            </w:r>
            <w:r w:rsidR="00D73223">
              <w:rPr>
                <w:sz w:val="24"/>
                <w:szCs w:val="24"/>
              </w:rPr>
              <w:t>9</w:t>
            </w:r>
          </w:p>
        </w:tc>
        <w:tc>
          <w:tcPr>
            <w:tcW w:w="3082" w:type="dxa"/>
          </w:tcPr>
          <w:p w14:paraId="1733B6C1" w14:textId="1CE63FDA" w:rsidR="00D73223" w:rsidRDefault="00A222EA" w:rsidP="00D73223">
            <w:pPr>
              <w:jc w:val="center"/>
              <w:rPr>
                <w:sz w:val="24"/>
                <w:szCs w:val="24"/>
              </w:rPr>
            </w:pPr>
            <w:r>
              <w:rPr>
                <w:sz w:val="24"/>
                <w:szCs w:val="24"/>
              </w:rPr>
              <w:t>50</w:t>
            </w:r>
          </w:p>
        </w:tc>
      </w:tr>
      <w:tr w:rsidR="00D73223" w14:paraId="6805559C" w14:textId="77777777" w:rsidTr="00D73223">
        <w:trPr>
          <w:trHeight w:val="400"/>
        </w:trPr>
        <w:tc>
          <w:tcPr>
            <w:tcW w:w="3081" w:type="dxa"/>
          </w:tcPr>
          <w:p w14:paraId="54DFC685" w14:textId="77777777" w:rsidR="00D73223" w:rsidRDefault="00D73223" w:rsidP="00D73223">
            <w:pPr>
              <w:jc w:val="center"/>
              <w:rPr>
                <w:sz w:val="24"/>
                <w:szCs w:val="24"/>
              </w:rPr>
            </w:pPr>
            <w:r>
              <w:rPr>
                <w:sz w:val="24"/>
                <w:szCs w:val="24"/>
              </w:rPr>
              <w:t>D</w:t>
            </w:r>
          </w:p>
        </w:tc>
        <w:tc>
          <w:tcPr>
            <w:tcW w:w="3082" w:type="dxa"/>
          </w:tcPr>
          <w:p w14:paraId="27CFBABA" w14:textId="77777777" w:rsidR="00D73223" w:rsidRDefault="00D73223" w:rsidP="00D73223">
            <w:pPr>
              <w:jc w:val="center"/>
              <w:rPr>
                <w:sz w:val="24"/>
                <w:szCs w:val="24"/>
              </w:rPr>
            </w:pPr>
            <w:r>
              <w:rPr>
                <w:sz w:val="24"/>
                <w:szCs w:val="24"/>
              </w:rPr>
              <w:t>2</w:t>
            </w:r>
          </w:p>
        </w:tc>
        <w:tc>
          <w:tcPr>
            <w:tcW w:w="3082" w:type="dxa"/>
          </w:tcPr>
          <w:p w14:paraId="673B4650" w14:textId="1D28F442" w:rsidR="00D73223" w:rsidRDefault="00A222EA" w:rsidP="00D73223">
            <w:pPr>
              <w:jc w:val="center"/>
              <w:rPr>
                <w:sz w:val="24"/>
                <w:szCs w:val="24"/>
              </w:rPr>
            </w:pPr>
            <w:r>
              <w:rPr>
                <w:sz w:val="24"/>
                <w:szCs w:val="24"/>
              </w:rPr>
              <w:t>3.5</w:t>
            </w:r>
          </w:p>
        </w:tc>
      </w:tr>
      <w:tr w:rsidR="00D73223" w14:paraId="29D61B93" w14:textId="77777777" w:rsidTr="00D73223">
        <w:trPr>
          <w:trHeight w:val="400"/>
        </w:trPr>
        <w:tc>
          <w:tcPr>
            <w:tcW w:w="3081" w:type="dxa"/>
          </w:tcPr>
          <w:p w14:paraId="2FB226C0" w14:textId="77777777" w:rsidR="00D73223" w:rsidRPr="00896A10" w:rsidRDefault="00D73223" w:rsidP="00D73223">
            <w:pPr>
              <w:jc w:val="center"/>
              <w:rPr>
                <w:b/>
                <w:sz w:val="24"/>
                <w:szCs w:val="24"/>
              </w:rPr>
            </w:pPr>
            <w:r w:rsidRPr="00896A10">
              <w:rPr>
                <w:b/>
                <w:sz w:val="24"/>
                <w:szCs w:val="24"/>
              </w:rPr>
              <w:t>Total</w:t>
            </w:r>
          </w:p>
        </w:tc>
        <w:tc>
          <w:tcPr>
            <w:tcW w:w="3082" w:type="dxa"/>
          </w:tcPr>
          <w:p w14:paraId="60856EDC" w14:textId="00326465" w:rsidR="00D73223" w:rsidRPr="00896A10" w:rsidRDefault="000F437B" w:rsidP="00D73223">
            <w:pPr>
              <w:jc w:val="center"/>
              <w:rPr>
                <w:b/>
                <w:sz w:val="24"/>
                <w:szCs w:val="24"/>
              </w:rPr>
            </w:pPr>
            <w:r>
              <w:rPr>
                <w:b/>
                <w:sz w:val="24"/>
                <w:szCs w:val="24"/>
              </w:rPr>
              <w:t>58</w:t>
            </w:r>
          </w:p>
        </w:tc>
        <w:tc>
          <w:tcPr>
            <w:tcW w:w="3082" w:type="dxa"/>
          </w:tcPr>
          <w:p w14:paraId="79FAE953" w14:textId="77777777" w:rsidR="00D73223" w:rsidRPr="00896A10" w:rsidRDefault="00D73223" w:rsidP="00D73223">
            <w:pPr>
              <w:jc w:val="center"/>
              <w:rPr>
                <w:b/>
                <w:sz w:val="24"/>
                <w:szCs w:val="24"/>
              </w:rPr>
            </w:pPr>
            <w:r w:rsidRPr="00896A10">
              <w:rPr>
                <w:b/>
                <w:sz w:val="24"/>
                <w:szCs w:val="24"/>
              </w:rPr>
              <w:t>100%</w:t>
            </w:r>
          </w:p>
        </w:tc>
      </w:tr>
    </w:tbl>
    <w:p w14:paraId="6DBE0B60" w14:textId="77777777" w:rsidR="00EE2B5C" w:rsidRDefault="00EE2B5C" w:rsidP="00EE2B5C">
      <w:pPr>
        <w:spacing w:after="0"/>
        <w:rPr>
          <w:sz w:val="24"/>
          <w:szCs w:val="24"/>
        </w:rPr>
      </w:pPr>
    </w:p>
    <w:p w14:paraId="5929386C" w14:textId="34EDEE60" w:rsidR="00EE2B5C" w:rsidRPr="00304DFC" w:rsidRDefault="00EE2B5C" w:rsidP="00304DFC">
      <w:pPr>
        <w:rPr>
          <w:noProof/>
          <w:sz w:val="24"/>
          <w:szCs w:val="24"/>
        </w:rPr>
      </w:pPr>
      <w:r>
        <w:rPr>
          <w:noProof/>
          <w:sz w:val="24"/>
          <w:szCs w:val="24"/>
        </w:rPr>
        <w:drawing>
          <wp:inline distT="0" distB="0" distL="0" distR="0" wp14:anchorId="76623392" wp14:editId="50FE1EC4">
            <wp:extent cx="5897880" cy="2788920"/>
            <wp:effectExtent l="0" t="0" r="7620"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EE2B5C" w:rsidRPr="00304DFC" w:rsidSect="00A93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5C"/>
    <w:rsid w:val="000003C5"/>
    <w:rsid w:val="00020345"/>
    <w:rsid w:val="00036935"/>
    <w:rsid w:val="000568FF"/>
    <w:rsid w:val="000B23DC"/>
    <w:rsid w:val="000C44E5"/>
    <w:rsid w:val="000E08DA"/>
    <w:rsid w:val="000F437B"/>
    <w:rsid w:val="001368FD"/>
    <w:rsid w:val="00190679"/>
    <w:rsid w:val="001908AD"/>
    <w:rsid w:val="001942F4"/>
    <w:rsid w:val="001A2699"/>
    <w:rsid w:val="001A32BD"/>
    <w:rsid w:val="001F0134"/>
    <w:rsid w:val="00211BE5"/>
    <w:rsid w:val="00252EB1"/>
    <w:rsid w:val="002A7F35"/>
    <w:rsid w:val="002C010E"/>
    <w:rsid w:val="002F677F"/>
    <w:rsid w:val="00304DFC"/>
    <w:rsid w:val="00327DC6"/>
    <w:rsid w:val="00352D3E"/>
    <w:rsid w:val="00357929"/>
    <w:rsid w:val="00395E7C"/>
    <w:rsid w:val="00396AFD"/>
    <w:rsid w:val="003C5DDA"/>
    <w:rsid w:val="003D7936"/>
    <w:rsid w:val="003F4C08"/>
    <w:rsid w:val="003F6395"/>
    <w:rsid w:val="0040252D"/>
    <w:rsid w:val="00477C3F"/>
    <w:rsid w:val="00483671"/>
    <w:rsid w:val="004F27C9"/>
    <w:rsid w:val="00521A8A"/>
    <w:rsid w:val="005346F4"/>
    <w:rsid w:val="0054570B"/>
    <w:rsid w:val="0056588E"/>
    <w:rsid w:val="00577255"/>
    <w:rsid w:val="005A1311"/>
    <w:rsid w:val="005B6684"/>
    <w:rsid w:val="005C64C4"/>
    <w:rsid w:val="005D2672"/>
    <w:rsid w:val="005F585B"/>
    <w:rsid w:val="006232C6"/>
    <w:rsid w:val="00631D41"/>
    <w:rsid w:val="006424A6"/>
    <w:rsid w:val="006A410B"/>
    <w:rsid w:val="006A6455"/>
    <w:rsid w:val="006B077B"/>
    <w:rsid w:val="006B7F4E"/>
    <w:rsid w:val="006C57FC"/>
    <w:rsid w:val="006F20B1"/>
    <w:rsid w:val="00712EB3"/>
    <w:rsid w:val="007142DC"/>
    <w:rsid w:val="00760698"/>
    <w:rsid w:val="00762A9B"/>
    <w:rsid w:val="007A41AE"/>
    <w:rsid w:val="007B41FD"/>
    <w:rsid w:val="00805198"/>
    <w:rsid w:val="00814B70"/>
    <w:rsid w:val="00822F25"/>
    <w:rsid w:val="008921E5"/>
    <w:rsid w:val="008C0A15"/>
    <w:rsid w:val="009042B3"/>
    <w:rsid w:val="0093765B"/>
    <w:rsid w:val="009841CF"/>
    <w:rsid w:val="009B583B"/>
    <w:rsid w:val="009B6A5E"/>
    <w:rsid w:val="009C3D15"/>
    <w:rsid w:val="009F7B14"/>
    <w:rsid w:val="00A222EA"/>
    <w:rsid w:val="00A51362"/>
    <w:rsid w:val="00A52195"/>
    <w:rsid w:val="00A56F0D"/>
    <w:rsid w:val="00A93825"/>
    <w:rsid w:val="00A9539C"/>
    <w:rsid w:val="00AA187B"/>
    <w:rsid w:val="00AB69FE"/>
    <w:rsid w:val="00AD1CB9"/>
    <w:rsid w:val="00B10702"/>
    <w:rsid w:val="00B42F24"/>
    <w:rsid w:val="00B4694E"/>
    <w:rsid w:val="00BA0196"/>
    <w:rsid w:val="00BA7F2A"/>
    <w:rsid w:val="00BB1C84"/>
    <w:rsid w:val="00BD42D3"/>
    <w:rsid w:val="00BE4AFA"/>
    <w:rsid w:val="00C77EDD"/>
    <w:rsid w:val="00C83605"/>
    <w:rsid w:val="00D478A6"/>
    <w:rsid w:val="00D73223"/>
    <w:rsid w:val="00DF09D2"/>
    <w:rsid w:val="00DF380C"/>
    <w:rsid w:val="00E231AA"/>
    <w:rsid w:val="00E53F51"/>
    <w:rsid w:val="00E73DC5"/>
    <w:rsid w:val="00EB0866"/>
    <w:rsid w:val="00EC0F15"/>
    <w:rsid w:val="00EE2B5C"/>
    <w:rsid w:val="00EE5352"/>
    <w:rsid w:val="00F203DA"/>
    <w:rsid w:val="00F25190"/>
    <w:rsid w:val="00F56E36"/>
    <w:rsid w:val="00FB0F0B"/>
    <w:rsid w:val="00FB4BEF"/>
    <w:rsid w:val="00FC37A9"/>
    <w:rsid w:val="00FE01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61F0"/>
  <w15:chartTrackingRefBased/>
  <w15:docId w15:val="{1CE32F2E-A04A-5945-BDFF-10D837FF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5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B5C"/>
    <w:pPr>
      <w:ind w:left="720"/>
      <w:contextualSpacing/>
    </w:pPr>
  </w:style>
  <w:style w:type="character" w:styleId="Hyperlink">
    <w:name w:val="Hyperlink"/>
    <w:basedOn w:val="DefaultParagraphFont"/>
    <w:uiPriority w:val="99"/>
    <w:unhideWhenUsed/>
    <w:rsid w:val="00EE2B5C"/>
    <w:rPr>
      <w:color w:val="0000FF"/>
      <w:u w:val="single"/>
    </w:rPr>
  </w:style>
  <w:style w:type="table" w:styleId="TableGrid">
    <w:name w:val="Table Grid"/>
    <w:basedOn w:val="TableNormal"/>
    <w:uiPriority w:val="39"/>
    <w:rsid w:val="00EE2B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hyperlink" Target="https://www.ccac.ca/Documents/Standards/Policies/Categories_of_invasivenes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Animals Used in Research 2020</c:v>
                </c:pt>
              </c:strCache>
            </c:strRef>
          </c:tx>
          <c:spPr>
            <a:ln>
              <a:solidFill>
                <a:schemeClr val="tx1"/>
              </a:solidFill>
            </a:ln>
          </c:spPr>
          <c:dPt>
            <c:idx val="0"/>
            <c:bubble3D val="0"/>
            <c:spPr>
              <a:solidFill>
                <a:srgbClr val="C00000"/>
              </a:solidFill>
              <a:ln>
                <a:solidFill>
                  <a:schemeClr val="tx1"/>
                </a:solid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826-8F4E-A427-B7398C5D1C46}"/>
              </c:ext>
            </c:extLst>
          </c:dPt>
          <c:dPt>
            <c:idx val="1"/>
            <c:bubble3D val="0"/>
            <c:spPr>
              <a:solidFill>
                <a:schemeClr val="accent1"/>
              </a:solidFill>
              <a:ln>
                <a:solidFill>
                  <a:schemeClr val="tx1"/>
                </a:solid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826-8F4E-A427-B7398C5D1C46}"/>
              </c:ext>
            </c:extLst>
          </c:dPt>
          <c:dPt>
            <c:idx val="2"/>
            <c:bubble3D val="0"/>
            <c:spPr>
              <a:solidFill>
                <a:schemeClr val="accent3"/>
              </a:solidFill>
              <a:ln>
                <a:solidFill>
                  <a:schemeClr val="tx1"/>
                </a:solid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826-8F4E-A427-B7398C5D1C46}"/>
              </c:ext>
            </c:extLst>
          </c:dPt>
          <c:dPt>
            <c:idx val="3"/>
            <c:bubble3D val="0"/>
            <c:spPr>
              <a:solidFill>
                <a:schemeClr val="accent4"/>
              </a:solidFill>
              <a:ln>
                <a:solidFill>
                  <a:schemeClr val="tx1"/>
                </a:solid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826-8F4E-A427-B7398C5D1C46}"/>
              </c:ext>
            </c:extLst>
          </c:dPt>
          <c:dLbls>
            <c:dLbl>
              <c:idx val="0"/>
              <c:layout>
                <c:manualLayout>
                  <c:x val="-7.9335452550197055E-2"/>
                  <c:y val="-0.1726557612032814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826-8F4E-A427-B7398C5D1C46}"/>
                </c:ext>
              </c:extLst>
            </c:dLbl>
            <c:dLbl>
              <c:idx val="1"/>
              <c:layout>
                <c:manualLayout>
                  <c:x val="0.11573140689467559"/>
                  <c:y val="0.22782384674240444"/>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8020899978673491"/>
                      <c:h val="0.14745387453874539"/>
                    </c:manualLayout>
                  </c15:layout>
                </c:ext>
                <c:ext xmlns:c16="http://schemas.microsoft.com/office/drawing/2014/chart" uri="{C3380CC4-5D6E-409C-BE32-E72D297353CC}">
                  <c16:uniqueId val="{00000003-D826-8F4E-A427-B7398C5D1C4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Rodents</c:v>
                </c:pt>
                <c:pt idx="1">
                  <c:v>Reptiles/Amphibians</c:v>
                </c:pt>
              </c:strCache>
            </c:strRef>
          </c:cat>
          <c:val>
            <c:numRef>
              <c:f>Sheet1!$B$2:$B$5</c:f>
              <c:numCache>
                <c:formatCode>General</c:formatCode>
                <c:ptCount val="4"/>
                <c:pt idx="0">
                  <c:v>90</c:v>
                </c:pt>
                <c:pt idx="1">
                  <c:v>10</c:v>
                </c:pt>
              </c:numCache>
            </c:numRef>
          </c:val>
          <c:extLst>
            <c:ext xmlns:c16="http://schemas.microsoft.com/office/drawing/2014/chart" uri="{C3380CC4-5D6E-409C-BE32-E72D297353CC}">
              <c16:uniqueId val="{00000008-D826-8F4E-A427-B7398C5D1C4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CATEGORY</a:t>
            </a:r>
            <a:r>
              <a:rPr lang="en-US" b="1" baseline="0"/>
              <a:t> OF INVASIVENESS</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Category of Invasiveness</c:v>
                </c:pt>
              </c:strCache>
            </c:strRef>
          </c:tx>
          <c:spPr>
            <a:ln>
              <a:solidFill>
                <a:schemeClr val="tx1"/>
              </a:solidFill>
            </a:ln>
          </c:spPr>
          <c:dPt>
            <c:idx val="0"/>
            <c:bubble3D val="0"/>
            <c:spPr>
              <a:solidFill>
                <a:schemeClr val="accent1"/>
              </a:solidFill>
              <a:ln w="19050">
                <a:solidFill>
                  <a:schemeClr val="tx1"/>
                </a:solidFill>
              </a:ln>
              <a:effectLst/>
            </c:spPr>
            <c:extLst>
              <c:ext xmlns:c16="http://schemas.microsoft.com/office/drawing/2014/chart" uri="{C3380CC4-5D6E-409C-BE32-E72D297353CC}">
                <c16:uniqueId val="{00000001-6808-EC42-A41C-BE9E13AAEAA8}"/>
              </c:ext>
            </c:extLst>
          </c:dPt>
          <c:dPt>
            <c:idx val="1"/>
            <c:bubble3D val="0"/>
            <c:spPr>
              <a:solidFill>
                <a:srgbClr val="FF0000"/>
              </a:solidFill>
              <a:ln w="19050">
                <a:solidFill>
                  <a:schemeClr val="tx1"/>
                </a:solidFill>
              </a:ln>
              <a:effectLst/>
            </c:spPr>
            <c:extLst>
              <c:ext xmlns:c16="http://schemas.microsoft.com/office/drawing/2014/chart" uri="{C3380CC4-5D6E-409C-BE32-E72D297353CC}">
                <c16:uniqueId val="{00000003-6808-EC42-A41C-BE9E13AAEAA8}"/>
              </c:ext>
            </c:extLst>
          </c:dPt>
          <c:dPt>
            <c:idx val="2"/>
            <c:bubble3D val="0"/>
            <c:spPr>
              <a:solidFill>
                <a:srgbClr val="C00000"/>
              </a:solidFill>
              <a:ln w="19050">
                <a:solidFill>
                  <a:schemeClr val="tx1"/>
                </a:solidFill>
              </a:ln>
              <a:effectLst/>
            </c:spPr>
            <c:extLst>
              <c:ext xmlns:c16="http://schemas.microsoft.com/office/drawing/2014/chart" uri="{C3380CC4-5D6E-409C-BE32-E72D297353CC}">
                <c16:uniqueId val="{00000005-6808-EC42-A41C-BE9E13AAEAA8}"/>
              </c:ext>
            </c:extLst>
          </c:dPt>
          <c:dPt>
            <c:idx val="3"/>
            <c:bubble3D val="0"/>
            <c:spPr>
              <a:solidFill>
                <a:schemeClr val="accent6"/>
              </a:solidFill>
              <a:ln w="19050">
                <a:solidFill>
                  <a:schemeClr val="tx1"/>
                </a:solidFill>
              </a:ln>
              <a:effectLst/>
            </c:spPr>
            <c:extLst>
              <c:ext xmlns:c16="http://schemas.microsoft.com/office/drawing/2014/chart" uri="{C3380CC4-5D6E-409C-BE32-E72D297353CC}">
                <c16:uniqueId val="{00000007-6808-EC42-A41C-BE9E13AAEAA8}"/>
              </c:ext>
            </c:extLst>
          </c:dPt>
          <c:dLbls>
            <c:dLbl>
              <c:idx val="0"/>
              <c:layout>
                <c:manualLayout>
                  <c:x val="-8.3082395708289191E-3"/>
                  <c:y val="0.149712074925060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8-EC42-A41C-BE9E13AAEAA8}"/>
                </c:ext>
              </c:extLst>
            </c:dLbl>
            <c:dLbl>
              <c:idx val="1"/>
              <c:layout>
                <c:manualLayout>
                  <c:x val="-9.9092046633705744E-2"/>
                  <c:y val="3.8029057843179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08-EC42-A41C-BE9E13AAEAA8}"/>
                </c:ext>
              </c:extLst>
            </c:dLbl>
            <c:dLbl>
              <c:idx val="2"/>
              <c:layout>
                <c:manualLayout>
                  <c:x val="0.10391242276885931"/>
                  <c:y val="-5.8827789968876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08-EC42-A41C-BE9E13AAEAA8}"/>
                </c:ext>
              </c:extLst>
            </c:dLbl>
            <c:dLbl>
              <c:idx val="3"/>
              <c:layout>
                <c:manualLayout>
                  <c:x val="1.0406281579143693E-2"/>
                  <c:y val="8.8236665088995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08-EC42-A41C-BE9E13AAEAA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A</c:v>
                </c:pt>
                <c:pt idx="1">
                  <c:v>B</c:v>
                </c:pt>
                <c:pt idx="2">
                  <c:v>C</c:v>
                </c:pt>
                <c:pt idx="3">
                  <c:v>D</c:v>
                </c:pt>
              </c:strCache>
            </c:strRef>
          </c:cat>
          <c:val>
            <c:numRef>
              <c:f>Sheet1!$B$2:$B$5</c:f>
              <c:numCache>
                <c:formatCode>0%</c:formatCode>
                <c:ptCount val="4"/>
                <c:pt idx="0" formatCode="0.0%">
                  <c:v>3.5000000000000003E-2</c:v>
                </c:pt>
                <c:pt idx="1">
                  <c:v>0.43</c:v>
                </c:pt>
                <c:pt idx="2">
                  <c:v>0.5</c:v>
                </c:pt>
                <c:pt idx="3" formatCode="0.0%">
                  <c:v>3.5000000000000003E-2</c:v>
                </c:pt>
              </c:numCache>
            </c:numRef>
          </c:val>
          <c:extLst>
            <c:ext xmlns:c16="http://schemas.microsoft.com/office/drawing/2014/chart" uri="{C3380CC4-5D6E-409C-BE32-E72D297353CC}">
              <c16:uniqueId val="{00000008-6808-EC42-A41C-BE9E13AAEAA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42582777802125382"/>
          <c:y val="0.92156983463486819"/>
          <c:w val="0.18132733408323959"/>
          <c:h val="5.78540336778890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5C61B-DD13-B644-ABD6-E85E85FF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Links>
    <vt:vector size="6" baseType="variant">
      <vt:variant>
        <vt:i4>2031644</vt:i4>
      </vt:variant>
      <vt:variant>
        <vt:i4>0</vt:i4>
      </vt:variant>
      <vt:variant>
        <vt:i4>0</vt:i4>
      </vt:variant>
      <vt:variant>
        <vt:i4>5</vt:i4>
      </vt:variant>
      <vt:variant>
        <vt:lpwstr>https://www.ccac.ca/Documents/Standards/Policies/Categories_of_invasiveness.pdf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Bukovac</dc:creator>
  <cp:keywords/>
  <dc:description/>
  <cp:lastModifiedBy>Shawn Bukovac</cp:lastModifiedBy>
  <cp:revision>67</cp:revision>
  <dcterms:created xsi:type="dcterms:W3CDTF">2022-02-26T03:23:00Z</dcterms:created>
  <dcterms:modified xsi:type="dcterms:W3CDTF">2022-03-17T05:03:00Z</dcterms:modified>
</cp:coreProperties>
</file>